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838" w:rsidRDefault="00E75D88">
      <w:pPr>
        <w:widowControl/>
        <w:spacing w:line="360" w:lineRule="auto"/>
        <w:rPr>
          <w:rFonts w:ascii="宋体" w:eastAsia="宋体" w:hAnsi="宋体" w:cs="宋体"/>
          <w:b/>
          <w:bCs/>
          <w:kern w:val="0"/>
          <w:sz w:val="32"/>
          <w:szCs w:val="32"/>
        </w:rPr>
      </w:pPr>
      <w:r>
        <w:rPr>
          <w:noProof/>
        </w:rPr>
        <w:drawing>
          <wp:anchor distT="0" distB="0" distL="114300" distR="114300" simplePos="0" relativeHeight="251659264" behindDoc="0" locked="0" layoutInCell="1" allowOverlap="1">
            <wp:simplePos x="0" y="0"/>
            <wp:positionH relativeFrom="column">
              <wp:posOffset>-371475</wp:posOffset>
            </wp:positionH>
            <wp:positionV relativeFrom="paragraph">
              <wp:posOffset>0</wp:posOffset>
            </wp:positionV>
            <wp:extent cx="6021705" cy="8393430"/>
            <wp:effectExtent l="0" t="0" r="0" b="7620"/>
            <wp:wrapSquare wrapText="bothSides"/>
            <wp:docPr id="20761236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123649"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21705" cy="8393430"/>
                    </a:xfrm>
                    <a:prstGeom prst="rect">
                      <a:avLst/>
                    </a:prstGeom>
                    <a:noFill/>
                    <a:ln>
                      <a:noFill/>
                    </a:ln>
                  </pic:spPr>
                </pic:pic>
              </a:graphicData>
            </a:graphic>
          </wp:anchor>
        </w:drawing>
      </w:r>
    </w:p>
    <w:sdt>
      <w:sdtPr>
        <w:rPr>
          <w:rFonts w:ascii="仿宋" w:eastAsia="仿宋" w:hAnsi="仿宋" w:cs="仿宋" w:hint="eastAsia"/>
          <w:color w:val="auto"/>
          <w:kern w:val="2"/>
          <w:sz w:val="24"/>
          <w:szCs w:val="24"/>
          <w:lang w:val="zh-CN"/>
        </w:rPr>
        <w:id w:val="2007088489"/>
        <w:docPartObj>
          <w:docPartGallery w:val="Table of Contents"/>
          <w:docPartUnique/>
        </w:docPartObj>
      </w:sdtPr>
      <w:sdtEndPr>
        <w:rPr>
          <w:b/>
          <w:bCs/>
          <w:lang w:val="en-US"/>
        </w:rPr>
      </w:sdtEndPr>
      <w:sdtContent>
        <w:p w:rsidR="00742838" w:rsidRDefault="00E75D88">
          <w:pPr>
            <w:pStyle w:val="TOC2"/>
            <w:spacing w:before="0" w:line="360" w:lineRule="auto"/>
            <w:ind w:firstLineChars="200" w:firstLine="480"/>
            <w:jc w:val="center"/>
            <w:rPr>
              <w:rFonts w:ascii="仿宋" w:eastAsia="仿宋" w:hAnsi="仿宋" w:cs="仿宋"/>
              <w:b/>
              <w:bCs/>
              <w:color w:val="auto"/>
              <w:sz w:val="28"/>
              <w:szCs w:val="28"/>
            </w:rPr>
          </w:pPr>
          <w:r>
            <w:rPr>
              <w:rFonts w:ascii="仿宋" w:eastAsia="仿宋" w:hAnsi="仿宋" w:cs="仿宋" w:hint="eastAsia"/>
              <w:b/>
              <w:bCs/>
              <w:color w:val="auto"/>
              <w:sz w:val="28"/>
              <w:szCs w:val="28"/>
              <w:lang w:val="zh-CN"/>
            </w:rPr>
            <w:t>目</w:t>
          </w:r>
          <w:r>
            <w:rPr>
              <w:rFonts w:ascii="仿宋" w:eastAsia="仿宋" w:hAnsi="仿宋" w:cs="仿宋" w:hint="eastAsia"/>
              <w:b/>
              <w:bCs/>
              <w:color w:val="auto"/>
              <w:sz w:val="28"/>
              <w:szCs w:val="28"/>
            </w:rPr>
            <w:t xml:space="preserve">    </w:t>
          </w:r>
          <w:r>
            <w:rPr>
              <w:rFonts w:ascii="仿宋" w:eastAsia="仿宋" w:hAnsi="仿宋" w:cs="仿宋" w:hint="eastAsia"/>
              <w:b/>
              <w:bCs/>
              <w:color w:val="auto"/>
              <w:sz w:val="28"/>
              <w:szCs w:val="28"/>
              <w:lang w:val="zh-CN"/>
            </w:rPr>
            <w:t>录</w:t>
          </w:r>
        </w:p>
        <w:p w:rsidR="00742838" w:rsidRDefault="00742838">
          <w:pPr>
            <w:spacing w:after="0" w:line="360" w:lineRule="auto"/>
            <w:ind w:firstLineChars="200" w:firstLine="482"/>
            <w:rPr>
              <w:rFonts w:ascii="仿宋" w:eastAsia="仿宋" w:hAnsi="仿宋" w:cs="仿宋"/>
              <w:b/>
              <w:bCs/>
              <w:sz w:val="24"/>
              <w:szCs w:val="24"/>
            </w:rPr>
          </w:pP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一、概况</w:t>
          </w:r>
          <w:r w:rsidR="009A7BCC">
            <w:rPr>
              <w:rFonts w:ascii="仿宋" w:eastAsia="仿宋" w:hAnsi="仿宋" w:cs="仿宋"/>
              <w:b/>
              <w:bCs/>
              <w:sz w:val="24"/>
              <w:szCs w:val="24"/>
            </w:rPr>
            <w:t>……………………………………………………………………3</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二、参与办学情况</w:t>
          </w:r>
          <w:r w:rsidR="009A7BCC">
            <w:rPr>
              <w:rFonts w:ascii="仿宋" w:eastAsia="仿宋" w:hAnsi="仿宋" w:cs="仿宋"/>
              <w:b/>
              <w:bCs/>
              <w:sz w:val="24"/>
              <w:szCs w:val="24"/>
            </w:rPr>
            <w:t>…………………………………………………………3</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三、资源投入情况</w:t>
          </w:r>
          <w:r w:rsidR="009A7BCC">
            <w:rPr>
              <w:rFonts w:ascii="仿宋" w:eastAsia="仿宋" w:hAnsi="仿宋" w:cs="仿宋"/>
              <w:b/>
              <w:bCs/>
              <w:sz w:val="24"/>
              <w:szCs w:val="24"/>
            </w:rPr>
            <w:t>…………………………………………………………4</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四、参与教学情况</w:t>
          </w:r>
          <w:r w:rsidR="009A7BCC">
            <w:rPr>
              <w:rFonts w:ascii="仿宋" w:eastAsia="仿宋" w:hAnsi="仿宋" w:cs="仿宋"/>
              <w:b/>
              <w:bCs/>
              <w:sz w:val="24"/>
              <w:szCs w:val="24"/>
            </w:rPr>
            <w:t>…………………………………………………………5</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五、助推企业发展情况</w:t>
          </w:r>
          <w:r w:rsidR="009A7BCC">
            <w:rPr>
              <w:rFonts w:ascii="仿宋" w:eastAsia="仿宋" w:hAnsi="仿宋" w:cs="仿宋"/>
              <w:b/>
              <w:bCs/>
              <w:sz w:val="24"/>
              <w:szCs w:val="24"/>
            </w:rPr>
            <w:t>……………………………………………………7</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六、服务地方</w:t>
          </w:r>
          <w:r w:rsidR="009A7BCC">
            <w:rPr>
              <w:rFonts w:ascii="仿宋" w:eastAsia="仿宋" w:hAnsi="仿宋" w:cs="仿宋"/>
              <w:b/>
              <w:bCs/>
              <w:sz w:val="24"/>
              <w:szCs w:val="24"/>
            </w:rPr>
            <w:t>………………………………………………………………8</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七、保障体系</w:t>
          </w:r>
          <w:r w:rsidR="009A7BCC">
            <w:rPr>
              <w:rFonts w:ascii="仿宋" w:eastAsia="仿宋" w:hAnsi="仿宋" w:cs="仿宋"/>
              <w:b/>
              <w:bCs/>
              <w:sz w:val="24"/>
              <w:szCs w:val="24"/>
            </w:rPr>
            <w:t>………………………………………………………………8</w:t>
          </w:r>
        </w:p>
        <w:p w:rsidR="00742838" w:rsidRDefault="00E75D88">
          <w:pPr>
            <w:spacing w:after="0" w:line="48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八、问题与展望</w:t>
          </w:r>
          <w:r w:rsidR="009A7BCC">
            <w:rPr>
              <w:rFonts w:ascii="仿宋" w:eastAsia="仿宋" w:hAnsi="仿宋" w:cs="仿宋"/>
              <w:b/>
              <w:bCs/>
              <w:sz w:val="24"/>
              <w:szCs w:val="24"/>
            </w:rPr>
            <w:t>……………………………………………………………8</w:t>
          </w:r>
        </w:p>
      </w:sdtContent>
    </w:sdt>
    <w:p w:rsidR="00742838" w:rsidRDefault="00742838">
      <w:pPr>
        <w:spacing w:after="0" w:line="480" w:lineRule="auto"/>
        <w:ind w:firstLineChars="200" w:firstLine="482"/>
        <w:rPr>
          <w:rFonts w:ascii="仿宋" w:eastAsia="仿宋" w:hAnsi="仿宋" w:cs="仿宋"/>
          <w:b/>
          <w:bCs/>
          <w:sz w:val="24"/>
          <w:szCs w:val="24"/>
          <w:lang w:val="zh-CN"/>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spacing w:after="0" w:line="360" w:lineRule="auto"/>
        <w:ind w:firstLineChars="200" w:firstLine="480"/>
        <w:rPr>
          <w:rFonts w:ascii="仿宋" w:eastAsia="仿宋" w:hAnsi="仿宋" w:cs="仿宋"/>
          <w:sz w:val="24"/>
          <w:szCs w:val="24"/>
        </w:rPr>
      </w:pPr>
    </w:p>
    <w:p w:rsidR="00742838" w:rsidRDefault="00742838">
      <w:pPr>
        <w:pStyle w:val="4"/>
        <w:spacing w:before="156" w:after="156"/>
        <w:ind w:firstLine="720"/>
        <w:rPr>
          <w:rFonts w:ascii="仿宋" w:hAnsi="仿宋" w:cs="仿宋"/>
          <w:sz w:val="24"/>
          <w:szCs w:val="24"/>
        </w:rPr>
      </w:pPr>
    </w:p>
    <w:p w:rsidR="00742838" w:rsidRDefault="00742838">
      <w:pPr>
        <w:rPr>
          <w:rFonts w:ascii="仿宋" w:eastAsia="仿宋" w:hAnsi="仿宋" w:cs="仿宋"/>
          <w:sz w:val="24"/>
          <w:szCs w:val="24"/>
        </w:rPr>
      </w:pPr>
    </w:p>
    <w:p w:rsidR="00742838" w:rsidRDefault="00742838">
      <w:pPr>
        <w:pStyle w:val="4"/>
        <w:spacing w:before="156" w:after="156"/>
        <w:ind w:firstLine="720"/>
        <w:rPr>
          <w:rFonts w:ascii="仿宋" w:hAnsi="仿宋" w:cs="仿宋"/>
          <w:sz w:val="24"/>
          <w:szCs w:val="24"/>
        </w:rPr>
      </w:pPr>
    </w:p>
    <w:p w:rsidR="00742838" w:rsidRDefault="00742838">
      <w:pPr>
        <w:rPr>
          <w:rFonts w:ascii="仿宋" w:eastAsia="仿宋" w:hAnsi="仿宋" w:cs="仿宋"/>
          <w:sz w:val="24"/>
          <w:szCs w:val="24"/>
        </w:rPr>
      </w:pPr>
    </w:p>
    <w:p w:rsidR="00742838" w:rsidRDefault="00E75D88">
      <w:pPr>
        <w:widowControl/>
        <w:spacing w:after="0" w:line="360" w:lineRule="auto"/>
        <w:ind w:firstLineChars="200" w:firstLine="482"/>
        <w:jc w:val="left"/>
        <w:rPr>
          <w:rFonts w:ascii="仿宋" w:eastAsia="仿宋" w:hAnsi="仿宋" w:cs="仿宋"/>
          <w:b/>
          <w:bCs/>
          <w:kern w:val="0"/>
          <w:sz w:val="24"/>
          <w:szCs w:val="24"/>
        </w:rPr>
      </w:pPr>
      <w:r>
        <w:rPr>
          <w:rStyle w:val="12"/>
          <w:rFonts w:ascii="仿宋" w:eastAsia="仿宋" w:hAnsi="仿宋" w:cs="仿宋" w:hint="eastAsia"/>
          <w:color w:val="auto"/>
        </w:rPr>
        <w:lastRenderedPageBreak/>
        <w:t>一、概况</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是一家从事文化科技研发、艺术培训、职业中介等业务的公司，成立于2017年12月27日，公司坐落在江苏省，详细地址为：南京市浦口区江浦街道仁山路1号园区2号楼302室，注册资本为200万人民币，企业的经营范围为:一般项目：技术服务、技术开发、技术咨询、技术交流、技术转让、技术推广；业务培训（不含教育培训、职业技能培训等需取得许可的培训）；招生辅助服务；组织文化艺术交流活动；会议及展览服务；其他文化艺术经纪代理；广告设计、代理；广告制作；图文设计制作；广告发布；企业管理咨询；办公用品销售；服装服饰批发；工艺美术品及礼仪用品销售（象牙及其制品除外）；城乡市容管理；商业综合体管理服务；软件开发。</w:t>
      </w:r>
    </w:p>
    <w:p w:rsidR="00742838" w:rsidRDefault="00E75D88">
      <w:pPr>
        <w:widowControl/>
        <w:shd w:val="clear" w:color="auto" w:fill="FFFFFF"/>
        <w:spacing w:after="0" w:line="360" w:lineRule="auto"/>
        <w:jc w:val="center"/>
        <w:rPr>
          <w:rFonts w:ascii="仿宋" w:eastAsia="仿宋" w:hAnsi="仿宋" w:cs="仿宋"/>
          <w:kern w:val="0"/>
          <w:sz w:val="24"/>
          <w:szCs w:val="24"/>
        </w:rPr>
      </w:pPr>
      <w:r>
        <w:rPr>
          <w:rFonts w:ascii="仿宋" w:eastAsia="仿宋" w:hAnsi="仿宋" w:cs="仿宋" w:hint="eastAsia"/>
          <w:noProof/>
          <w:sz w:val="24"/>
          <w:szCs w:val="24"/>
        </w:rPr>
        <w:drawing>
          <wp:inline distT="0" distB="0" distL="114300" distR="114300">
            <wp:extent cx="3765550" cy="2650490"/>
            <wp:effectExtent l="0" t="0" r="1397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3765550" cy="2650490"/>
                    </a:xfrm>
                    <a:prstGeom prst="rect">
                      <a:avLst/>
                    </a:prstGeom>
                    <a:noFill/>
                    <a:ln>
                      <a:noFill/>
                    </a:ln>
                  </pic:spPr>
                </pic:pic>
              </a:graphicData>
            </a:graphic>
          </wp:inline>
        </w:drawing>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kern w:val="0"/>
          <w:sz w:val="24"/>
          <w:szCs w:val="24"/>
        </w:rPr>
        <w:t>图1  南京百枢文化科技有限公司部分设计作品</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二、参与办学情况</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与南京工业职业技术大学艺术设计学院采取校企合作共建的方式，与艺术设计学院视觉传达设计专业教师学生一起开发针对印前设计、印刷工艺、文创设计等各个环节的课程，更好的为社会培养具有一定理论实践经验的“创意能力出色 动手能力强”视觉设计人才。采用“校企共训”模式。将企业的内训机构引入到学院，学院免费提供场地和设备，双方共同组建“捆绑”式培训团队，为企业员工和学院的学生进行专业技能培训。这种直接引</w:t>
      </w:r>
      <w:r>
        <w:rPr>
          <w:rFonts w:ascii="仿宋" w:eastAsia="仿宋" w:hAnsi="仿宋" w:cs="仿宋" w:hint="eastAsia"/>
          <w:kern w:val="0"/>
          <w:sz w:val="24"/>
          <w:szCs w:val="24"/>
        </w:rPr>
        <w:lastRenderedPageBreak/>
        <w:t>入企业培训课程和培训师资的模式，使学院的课程能紧跟企业要求和技术发展，同时扩充了兼职教师队伍。(图1)。</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 xml:space="preserve">南京百枢文化科技有限公司的“教师创意创新中心”每年接纳南京工业职业技术大学艺术设计学院视觉传达设计专业教师到企业调研、挂职锻炼以及参与商业项目开发与制作，为教师“双师”素质培养和项目化教学能力提升创造条件。 </w:t>
      </w:r>
    </w:p>
    <w:p w:rsidR="00742838" w:rsidRDefault="00E75D88">
      <w:pPr>
        <w:spacing w:after="0" w:line="360" w:lineRule="auto"/>
        <w:ind w:firstLineChars="200" w:firstLine="480"/>
        <w:jc w:val="left"/>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2390140" cy="1792605"/>
            <wp:effectExtent l="0" t="0" r="2540" b="5715"/>
            <wp:docPr id="1" name="图片 1" descr="微信图片_20231117065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1117065724"/>
                    <pic:cNvPicPr>
                      <a:picLocks noChangeAspect="1"/>
                    </pic:cNvPicPr>
                  </pic:nvPicPr>
                  <pic:blipFill>
                    <a:blip r:embed="rId10">
                      <a:lum bright="12000"/>
                    </a:blip>
                    <a:stretch>
                      <a:fillRect/>
                    </a:stretch>
                  </pic:blipFill>
                  <pic:spPr>
                    <a:xfrm>
                      <a:off x="0" y="0"/>
                      <a:ext cx="2390140" cy="1792605"/>
                    </a:xfrm>
                    <a:prstGeom prst="rect">
                      <a:avLst/>
                    </a:prstGeom>
                  </pic:spPr>
                </pic:pic>
              </a:graphicData>
            </a:graphic>
          </wp:inline>
        </w:drawing>
      </w:r>
      <w:r>
        <w:rPr>
          <w:rFonts w:ascii="仿宋" w:eastAsia="仿宋" w:hAnsi="仿宋" w:cs="仿宋" w:hint="eastAsia"/>
          <w:noProof/>
          <w:sz w:val="24"/>
          <w:szCs w:val="24"/>
        </w:rPr>
        <w:drawing>
          <wp:inline distT="0" distB="0" distL="114300" distR="114300">
            <wp:extent cx="2362200" cy="1771650"/>
            <wp:effectExtent l="0" t="0" r="0" b="11430"/>
            <wp:docPr id="2" name="图片 2" descr="微信图片_20231117065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1117065730"/>
                    <pic:cNvPicPr>
                      <a:picLocks noChangeAspect="1"/>
                    </pic:cNvPicPr>
                  </pic:nvPicPr>
                  <pic:blipFill>
                    <a:blip r:embed="rId11">
                      <a:lum bright="12000"/>
                    </a:blip>
                    <a:stretch>
                      <a:fillRect/>
                    </a:stretch>
                  </pic:blipFill>
                  <pic:spPr>
                    <a:xfrm>
                      <a:off x="0" y="0"/>
                      <a:ext cx="2362200" cy="1771650"/>
                    </a:xfrm>
                    <a:prstGeom prst="rect">
                      <a:avLst/>
                    </a:prstGeom>
                  </pic:spPr>
                </pic:pic>
              </a:graphicData>
            </a:graphic>
          </wp:inline>
        </w:drawing>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kern w:val="0"/>
          <w:sz w:val="24"/>
          <w:szCs w:val="24"/>
        </w:rPr>
        <w:t>图1  南京百枢文化科技有限公司校企合作</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三、资源投入情况</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 xml:space="preserve">   1.师资培训</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与南京工业职业技术大学艺术设计学院视觉传达设计专业校企合作意向之后，本年度吸纳了专业教师深入公司实践，在一线设计岗位，极好的促进了教师实践能力的提升，以更好地作用于人才培养。</w:t>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noProof/>
          <w:sz w:val="24"/>
          <w:szCs w:val="24"/>
        </w:rPr>
        <w:drawing>
          <wp:inline distT="0" distB="0" distL="114300" distR="114300">
            <wp:extent cx="3786505" cy="1748155"/>
            <wp:effectExtent l="0" t="0" r="8255" b="444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2"/>
                    <a:stretch>
                      <a:fillRect/>
                    </a:stretch>
                  </pic:blipFill>
                  <pic:spPr>
                    <a:xfrm>
                      <a:off x="0" y="0"/>
                      <a:ext cx="3786505" cy="1748155"/>
                    </a:xfrm>
                    <a:prstGeom prst="rect">
                      <a:avLst/>
                    </a:prstGeom>
                    <a:noFill/>
                    <a:ln w="9525">
                      <a:noFill/>
                    </a:ln>
                  </pic:spPr>
                </pic:pic>
              </a:graphicData>
            </a:graphic>
          </wp:inline>
        </w:drawing>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kern w:val="0"/>
          <w:sz w:val="24"/>
          <w:szCs w:val="24"/>
        </w:rPr>
        <w:t>图1  2023年11月李奎老师于南京百枢文化科技有限公司创意项目现场</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2.实验实训建设</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多次组织南京工业职业技术大学艺术设计学院视觉传达设计专业教师赴我公司设计制作部门探访学习。视觉传达设计专业教师经过实地与公司设计师进行深入交流，收获颇丰，不仅开拓了视野，也提升了他</w:t>
      </w:r>
      <w:r>
        <w:rPr>
          <w:rFonts w:ascii="仿宋" w:eastAsia="仿宋" w:hAnsi="仿宋" w:cs="仿宋" w:hint="eastAsia"/>
          <w:kern w:val="0"/>
          <w:sz w:val="24"/>
          <w:szCs w:val="24"/>
        </w:rPr>
        <w:lastRenderedPageBreak/>
        <w:t>们专业能力，更加助推南京工业职业技术大学艺术设计学院视觉传达设计专业的建设与发展。</w:t>
      </w:r>
    </w:p>
    <w:p w:rsidR="00742838" w:rsidRDefault="00E75D88">
      <w:pPr>
        <w:widowControl/>
        <w:spacing w:after="0" w:line="360" w:lineRule="auto"/>
        <w:ind w:firstLineChars="200" w:firstLine="480"/>
        <w:rPr>
          <w:rFonts w:ascii="仿宋" w:eastAsia="仿宋" w:hAnsi="仿宋" w:cs="仿宋"/>
          <w:kern w:val="0"/>
          <w:sz w:val="24"/>
          <w:szCs w:val="24"/>
        </w:rPr>
      </w:pPr>
      <w:r>
        <w:rPr>
          <w:rFonts w:ascii="仿宋" w:eastAsia="仿宋" w:hAnsi="仿宋" w:cs="仿宋" w:hint="eastAsia"/>
          <w:kern w:val="0"/>
          <w:sz w:val="24"/>
          <w:szCs w:val="24"/>
        </w:rPr>
        <w:t>南京百枢文化科技有限公司参与南京工业职业技术大学艺术设计学院视觉传达设计专业设计竞赛工作室和视觉创意设计课程，满足了视觉传达专业相关课程的实训要求，为学校教师提供了更多的商业实际案例项目。</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四、参与教学情况</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1.教学课程建设</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我公司设计人员与南京工业职业技术大学艺术设计学院视觉传达专业教师一起开发了视觉传达设计创意课程体系及实验实训课程标准、人才培养体系、商业创意设计项目实施流程及规范体系等文件。</w:t>
      </w:r>
      <w:r w:rsidR="009A7BCC">
        <w:rPr>
          <w:rFonts w:ascii="仿宋" w:eastAsia="仿宋" w:hAnsi="仿宋" w:cs="仿宋" w:hint="eastAsia"/>
          <w:noProof/>
          <w:sz w:val="24"/>
          <w:szCs w:val="24"/>
        </w:rPr>
        <w:drawing>
          <wp:inline distT="0" distB="0" distL="114300" distR="114300" wp14:anchorId="4EB6F557" wp14:editId="5BEEDC5A">
            <wp:extent cx="5116830" cy="2439670"/>
            <wp:effectExtent l="0" t="0" r="3810" b="139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5116830" cy="2439670"/>
                    </a:xfrm>
                    <a:prstGeom prst="rect">
                      <a:avLst/>
                    </a:prstGeom>
                    <a:noFill/>
                    <a:ln>
                      <a:noFill/>
                    </a:ln>
                  </pic:spPr>
                </pic:pic>
              </a:graphicData>
            </a:graphic>
          </wp:inline>
        </w:drawing>
      </w:r>
    </w:p>
    <w:p w:rsidR="00742838" w:rsidRDefault="00E75D88">
      <w:pPr>
        <w:widowControl/>
        <w:spacing w:after="0" w:line="360" w:lineRule="auto"/>
        <w:jc w:val="center"/>
        <w:rPr>
          <w:rFonts w:ascii="仿宋" w:eastAsia="仿宋" w:hAnsi="仿宋" w:cs="仿宋"/>
          <w:sz w:val="24"/>
          <w:szCs w:val="24"/>
        </w:rPr>
      </w:pPr>
      <w:r>
        <w:rPr>
          <w:rFonts w:ascii="仿宋" w:eastAsia="仿宋" w:hAnsi="仿宋" w:cs="仿宋" w:hint="eastAsia"/>
          <w:noProof/>
          <w:sz w:val="24"/>
          <w:szCs w:val="24"/>
        </w:rPr>
        <w:lastRenderedPageBreak/>
        <w:drawing>
          <wp:inline distT="0" distB="0" distL="114300" distR="114300">
            <wp:extent cx="5114925" cy="3500120"/>
            <wp:effectExtent l="0" t="0" r="5715"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a:stretch>
                      <a:fillRect/>
                    </a:stretch>
                  </pic:blipFill>
                  <pic:spPr>
                    <a:xfrm>
                      <a:off x="0" y="0"/>
                      <a:ext cx="5114925" cy="3500120"/>
                    </a:xfrm>
                    <a:prstGeom prst="rect">
                      <a:avLst/>
                    </a:prstGeom>
                    <a:noFill/>
                    <a:ln>
                      <a:noFill/>
                    </a:ln>
                  </pic:spPr>
                </pic:pic>
              </a:graphicData>
            </a:graphic>
          </wp:inline>
        </w:drawing>
      </w:r>
    </w:p>
    <w:p w:rsidR="00742838" w:rsidRDefault="00E75D88">
      <w:pPr>
        <w:widowControl/>
        <w:spacing w:after="0" w:line="360" w:lineRule="auto"/>
        <w:jc w:val="center"/>
        <w:rPr>
          <w:rFonts w:ascii="仿宋" w:eastAsia="仿宋" w:hAnsi="仿宋" w:cs="仿宋"/>
          <w:kern w:val="0"/>
          <w:sz w:val="24"/>
          <w:szCs w:val="24"/>
        </w:rPr>
      </w:pPr>
      <w:r>
        <w:rPr>
          <w:rFonts w:ascii="仿宋" w:eastAsia="仿宋" w:hAnsi="仿宋" w:cs="仿宋" w:hint="eastAsia"/>
          <w:noProof/>
          <w:sz w:val="24"/>
          <w:szCs w:val="24"/>
        </w:rPr>
        <w:drawing>
          <wp:inline distT="0" distB="0" distL="114300" distR="114300">
            <wp:extent cx="5142865" cy="3519608"/>
            <wp:effectExtent l="0" t="0" r="635" b="508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stretch>
                      <a:fillRect/>
                    </a:stretch>
                  </pic:blipFill>
                  <pic:spPr>
                    <a:xfrm>
                      <a:off x="0" y="0"/>
                      <a:ext cx="5149713" cy="3524295"/>
                    </a:xfrm>
                    <a:prstGeom prst="rect">
                      <a:avLst/>
                    </a:prstGeom>
                    <a:noFill/>
                    <a:ln>
                      <a:noFill/>
                    </a:ln>
                  </pic:spPr>
                </pic:pic>
              </a:graphicData>
            </a:graphic>
          </wp:inline>
        </w:drawing>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2.学生培训工作</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派遣公司设计总监、创意总监等参与专业综合实训授课，将项目可能所遇到的难点与学生分享，学生在学校就可以与设计公司实际场景“零距离”接触，获得学生的好评，增强了学习的动力。</w:t>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noProof/>
          <w:kern w:val="0"/>
          <w:sz w:val="24"/>
          <w:szCs w:val="24"/>
        </w:rPr>
        <w:lastRenderedPageBreak/>
        <w:drawing>
          <wp:inline distT="0" distB="0" distL="114300" distR="114300">
            <wp:extent cx="2063750" cy="1547495"/>
            <wp:effectExtent l="0" t="0" r="8890" b="6985"/>
            <wp:docPr id="11" name="图片 11" descr="004cb7b05ba0306314b75511f0793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004cb7b05ba0306314b75511f0793a4"/>
                    <pic:cNvPicPr>
                      <a:picLocks noChangeAspect="1"/>
                    </pic:cNvPicPr>
                  </pic:nvPicPr>
                  <pic:blipFill>
                    <a:blip r:embed="rId15">
                      <a:lum bright="18000" contrast="12000"/>
                    </a:blip>
                    <a:stretch>
                      <a:fillRect/>
                    </a:stretch>
                  </pic:blipFill>
                  <pic:spPr>
                    <a:xfrm>
                      <a:off x="0" y="0"/>
                      <a:ext cx="2063750" cy="1547495"/>
                    </a:xfrm>
                    <a:prstGeom prst="rect">
                      <a:avLst/>
                    </a:prstGeom>
                  </pic:spPr>
                </pic:pic>
              </a:graphicData>
            </a:graphic>
          </wp:inline>
        </w:drawing>
      </w:r>
      <w:r>
        <w:rPr>
          <w:rFonts w:ascii="仿宋" w:eastAsia="仿宋" w:hAnsi="仿宋" w:cs="仿宋" w:hint="eastAsia"/>
          <w:kern w:val="0"/>
          <w:sz w:val="24"/>
          <w:szCs w:val="24"/>
        </w:rPr>
        <w:t xml:space="preserve"> </w:t>
      </w:r>
      <w:bookmarkStart w:id="0" w:name="_GoBack"/>
      <w:r w:rsidR="009E6E95">
        <w:rPr>
          <w:rFonts w:ascii="仿宋" w:eastAsia="仿宋" w:hAnsi="仿宋" w:cs="仿宋" w:hint="eastAsia"/>
          <w:noProof/>
          <w:kern w:val="0"/>
          <w:sz w:val="24"/>
          <w:szCs w:val="24"/>
        </w:rPr>
        <w:drawing>
          <wp:inline distT="0" distB="0" distL="114300" distR="114300" wp14:anchorId="1C3EE74E" wp14:editId="343C509C">
            <wp:extent cx="1160145" cy="1547495"/>
            <wp:effectExtent l="0" t="0" r="13335" b="6985"/>
            <wp:docPr id="12" name="图片 12" descr="5062e0a43c29850b5ff33fa8733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5062e0a43c29850b5ff33fa87330885"/>
                    <pic:cNvPicPr>
                      <a:picLocks noChangeAspect="1"/>
                    </pic:cNvPicPr>
                  </pic:nvPicPr>
                  <pic:blipFill>
                    <a:blip r:embed="rId16">
                      <a:lum bright="12000" contrast="6000"/>
                    </a:blip>
                    <a:stretch>
                      <a:fillRect/>
                    </a:stretch>
                  </pic:blipFill>
                  <pic:spPr>
                    <a:xfrm>
                      <a:off x="0" y="0"/>
                      <a:ext cx="1160145" cy="1547495"/>
                    </a:xfrm>
                    <a:prstGeom prst="rect">
                      <a:avLst/>
                    </a:prstGeom>
                  </pic:spPr>
                </pic:pic>
              </a:graphicData>
            </a:graphic>
          </wp:inline>
        </w:drawing>
      </w:r>
      <w:bookmarkEnd w:id="0"/>
      <w:r>
        <w:rPr>
          <w:rFonts w:ascii="仿宋" w:eastAsia="仿宋" w:hAnsi="仿宋" w:cs="仿宋" w:hint="eastAsia"/>
          <w:kern w:val="0"/>
          <w:sz w:val="24"/>
          <w:szCs w:val="24"/>
        </w:rPr>
        <w:t xml:space="preserve">        </w:t>
      </w:r>
    </w:p>
    <w:p w:rsidR="00742838" w:rsidRDefault="00E75D88">
      <w:pPr>
        <w:widowControl/>
        <w:spacing w:after="0" w:line="360" w:lineRule="auto"/>
        <w:ind w:firstLineChars="200" w:firstLine="480"/>
        <w:jc w:val="center"/>
        <w:rPr>
          <w:rFonts w:ascii="仿宋" w:eastAsia="仿宋" w:hAnsi="仿宋" w:cs="仿宋"/>
          <w:kern w:val="0"/>
          <w:sz w:val="24"/>
          <w:szCs w:val="24"/>
        </w:rPr>
      </w:pPr>
      <w:r>
        <w:rPr>
          <w:rFonts w:ascii="仿宋" w:eastAsia="仿宋" w:hAnsi="仿宋" w:cs="仿宋" w:hint="eastAsia"/>
          <w:kern w:val="0"/>
          <w:sz w:val="24"/>
          <w:szCs w:val="24"/>
        </w:rPr>
        <w:t>2023年11月朱美诗于实训工作室</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五、助推企业发展情况</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工业职业技术大学艺术设计学院视觉传达设计部分老师在我公司实习工作或参与企业项目创意开发的过程，完成了多项校企合作项目的设计、印刷项目，并获得了好评。现在企业间的竞争愈发激烈，在这个大背景下，合作作为一种创新的人才培养和企业发展模式，正逐渐受到广泛关注。通过合作，企业能够充分利用学校的教育资源，提升自身竞争力，实现可持续发展。</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1、技术研发</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与南京工业职业技术大学艺术设计学院视觉传达设计专业可以共同开展技术研发项目，充分利用双方的优势资源，推动科技创新。南京百枢文化科技有限公司在项目实施过程中可以获得学校的理论支持和实践指导，提升技术创新能力。</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2、人才培养</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南京百枢文化科技有限公司可以为学生提供实习机会，帮助学生积累实践经验，提高其综合素质。</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3、资源共享</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南京百枢文化科技有限公司与南京工业职业技术大学艺术设计学院视觉传达设计专业可以共享硬件设施和软件资源，降低双方的成本，提高资源利用效率。</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4、市场拓展</w:t>
      </w:r>
    </w:p>
    <w:p w:rsidR="00742838" w:rsidRDefault="00E75D88">
      <w:pPr>
        <w:widowControl/>
        <w:spacing w:after="0" w:line="360" w:lineRule="auto"/>
        <w:ind w:firstLineChars="200" w:firstLine="480"/>
        <w:jc w:val="left"/>
        <w:rPr>
          <w:rFonts w:ascii="仿宋" w:eastAsia="仿宋" w:hAnsi="仿宋" w:cs="仿宋"/>
          <w:kern w:val="0"/>
          <w:sz w:val="24"/>
          <w:szCs w:val="24"/>
        </w:rPr>
      </w:pPr>
      <w:r>
        <w:rPr>
          <w:rFonts w:ascii="仿宋" w:eastAsia="仿宋" w:hAnsi="仿宋" w:cs="仿宋" w:hint="eastAsia"/>
          <w:kern w:val="0"/>
          <w:sz w:val="24"/>
          <w:szCs w:val="24"/>
        </w:rPr>
        <w:t>可以通过与南京百枢文化科技有限公司的合作，提高自身的社会影响力，为毕业生提供更多的就业机会。双方可以共同开展市场推广活动，扩大知名度，提升市场竞争力。可以借助南京百枢文化科技有限公司的资源优势，加强与行业企业的联系，推动产学研一体化发展。</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lastRenderedPageBreak/>
        <w:t>六、服务地方</w:t>
      </w:r>
    </w:p>
    <w:p w:rsidR="00742838" w:rsidRDefault="00E75D88">
      <w:pPr>
        <w:pStyle w:val="ListParagraph1"/>
        <w:spacing w:after="0" w:line="360" w:lineRule="auto"/>
        <w:ind w:firstLine="480"/>
        <w:rPr>
          <w:rFonts w:ascii="仿宋" w:eastAsia="仿宋" w:hAnsi="仿宋" w:cs="仿宋"/>
          <w:sz w:val="24"/>
        </w:rPr>
      </w:pPr>
      <w:r>
        <w:rPr>
          <w:rFonts w:ascii="仿宋" w:eastAsia="仿宋" w:hAnsi="仿宋" w:cs="仿宋" w:hint="eastAsia"/>
          <w:kern w:val="0"/>
          <w:sz w:val="24"/>
        </w:rPr>
        <w:t>南京百枢文化科技有限公司与南京工业职业技术大学艺术设计学院积极</w:t>
      </w:r>
      <w:r>
        <w:rPr>
          <w:rFonts w:ascii="仿宋" w:eastAsia="仿宋" w:hAnsi="仿宋" w:cs="仿宋" w:hint="eastAsia"/>
          <w:sz w:val="24"/>
        </w:rPr>
        <w:t>开展校企合作，发挥视觉传达设计专业文化传承与发展的作用，服务地方经济发展，聚焦地方文化产业设计方面，加速推进地方文化创意和设计服务与地方产业的融合，使</w:t>
      </w:r>
      <w:r>
        <w:rPr>
          <w:rFonts w:ascii="仿宋" w:eastAsia="仿宋" w:hAnsi="仿宋" w:cs="仿宋" w:hint="eastAsia"/>
          <w:kern w:val="0"/>
          <w:sz w:val="24"/>
        </w:rPr>
        <w:t>南京工业职业技术大学艺术设计学院视觉传达专业</w:t>
      </w:r>
      <w:r>
        <w:rPr>
          <w:rFonts w:ascii="仿宋" w:eastAsia="仿宋" w:hAnsi="仿宋" w:cs="仿宋" w:hint="eastAsia"/>
          <w:sz w:val="24"/>
        </w:rPr>
        <w:t>办学具有独特内涵和鲜明的专业特色，在创意实训室年度上课200人次／年。</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七、保障体系</w:t>
      </w:r>
    </w:p>
    <w:p w:rsidR="00742838" w:rsidRDefault="00E75D88">
      <w:pPr>
        <w:pStyle w:val="ListParagraph1"/>
        <w:spacing w:after="0" w:line="360" w:lineRule="auto"/>
        <w:ind w:firstLine="480"/>
        <w:jc w:val="left"/>
        <w:rPr>
          <w:rFonts w:ascii="仿宋" w:eastAsia="仿宋" w:hAnsi="仿宋" w:cs="仿宋"/>
          <w:sz w:val="24"/>
        </w:rPr>
      </w:pPr>
      <w:r>
        <w:rPr>
          <w:rFonts w:ascii="仿宋" w:eastAsia="仿宋" w:hAnsi="仿宋" w:cs="仿宋" w:hint="eastAsia"/>
          <w:kern w:val="0"/>
          <w:sz w:val="24"/>
        </w:rPr>
        <w:t>南京百枢文化科技有限公司与南京工业职业技术大学艺术设计学院视觉传达设计专业</w:t>
      </w:r>
      <w:r>
        <w:rPr>
          <w:rFonts w:ascii="仿宋" w:eastAsia="仿宋" w:hAnsi="仿宋" w:cs="仿宋" w:hint="eastAsia"/>
          <w:sz w:val="24"/>
        </w:rPr>
        <w:t>签署战略合作协议，明确合作愿景及双方职责。学校保证人才培养质量，保证企业用人的优选权，为企业提供培训、技术等方面的支持。企业保证在设备、场地等条件上的支持及人员的支持，保证学生实训任务的安排。</w:t>
      </w:r>
    </w:p>
    <w:p w:rsidR="00742838" w:rsidRDefault="00E75D88">
      <w:pPr>
        <w:pStyle w:val="ListParagraph1"/>
        <w:spacing w:after="0" w:line="360" w:lineRule="auto"/>
        <w:ind w:firstLine="480"/>
        <w:rPr>
          <w:rFonts w:ascii="仿宋" w:eastAsia="仿宋" w:hAnsi="仿宋" w:cs="仿宋"/>
          <w:sz w:val="24"/>
        </w:rPr>
      </w:pPr>
      <w:r>
        <w:rPr>
          <w:rFonts w:ascii="仿宋" w:eastAsia="仿宋" w:hAnsi="仿宋" w:cs="仿宋" w:hint="eastAsia"/>
          <w:sz w:val="24"/>
        </w:rPr>
        <w:t>为保障工程中心的延续性，</w:t>
      </w:r>
      <w:r>
        <w:rPr>
          <w:rFonts w:ascii="仿宋" w:eastAsia="仿宋" w:hAnsi="仿宋" w:cs="仿宋" w:hint="eastAsia"/>
          <w:kern w:val="0"/>
          <w:sz w:val="24"/>
        </w:rPr>
        <w:t>南京百枢文化科技有限公司</w:t>
      </w:r>
      <w:r>
        <w:rPr>
          <w:rFonts w:ascii="仿宋" w:eastAsia="仿宋" w:hAnsi="仿宋" w:cs="仿宋" w:hint="eastAsia"/>
          <w:sz w:val="24"/>
        </w:rPr>
        <w:t>为南京工业职业技术大学艺术设计学院视觉传达设计创意实训室提供设计师及学院印刷物料质量保障，主要分为以下几点：</w:t>
      </w:r>
    </w:p>
    <w:p w:rsidR="00742838" w:rsidRDefault="00E75D88">
      <w:pPr>
        <w:pStyle w:val="ListParagraph1"/>
        <w:spacing w:after="0" w:line="360" w:lineRule="auto"/>
        <w:ind w:firstLine="480"/>
        <w:rPr>
          <w:rFonts w:ascii="仿宋" w:eastAsia="仿宋" w:hAnsi="仿宋" w:cs="仿宋"/>
          <w:sz w:val="24"/>
        </w:rPr>
      </w:pPr>
      <w:r>
        <w:rPr>
          <w:rFonts w:ascii="仿宋" w:eastAsia="仿宋" w:hAnsi="仿宋" w:cs="仿宋" w:hint="eastAsia"/>
          <w:sz w:val="24"/>
        </w:rPr>
        <w:t>1、持续性教师培训：</w:t>
      </w:r>
    </w:p>
    <w:p w:rsidR="00742838" w:rsidRDefault="00E75D88">
      <w:pPr>
        <w:pStyle w:val="ListParagraph1"/>
        <w:numPr>
          <w:ilvl w:val="0"/>
          <w:numId w:val="1"/>
        </w:numPr>
        <w:spacing w:after="0" w:line="360" w:lineRule="auto"/>
        <w:ind w:left="0" w:firstLine="480"/>
        <w:rPr>
          <w:rFonts w:ascii="仿宋" w:eastAsia="仿宋" w:hAnsi="仿宋" w:cs="仿宋"/>
          <w:sz w:val="24"/>
        </w:rPr>
      </w:pPr>
      <w:r>
        <w:rPr>
          <w:rFonts w:ascii="仿宋" w:eastAsia="仿宋" w:hAnsi="仿宋" w:cs="仿宋" w:hint="eastAsia"/>
          <w:sz w:val="24"/>
        </w:rPr>
        <w:t>每年1-2次教师下企业学习或参与公司设计印刷项目；</w:t>
      </w:r>
    </w:p>
    <w:p w:rsidR="00742838" w:rsidRDefault="00E75D88">
      <w:pPr>
        <w:pStyle w:val="ListParagraph1"/>
        <w:numPr>
          <w:ilvl w:val="0"/>
          <w:numId w:val="1"/>
        </w:numPr>
        <w:spacing w:after="0" w:line="360" w:lineRule="auto"/>
        <w:ind w:left="0" w:firstLine="480"/>
        <w:rPr>
          <w:rFonts w:ascii="仿宋" w:eastAsia="仿宋" w:hAnsi="仿宋" w:cs="仿宋"/>
          <w:sz w:val="24"/>
        </w:rPr>
      </w:pPr>
      <w:r>
        <w:rPr>
          <w:rFonts w:ascii="仿宋" w:eastAsia="仿宋" w:hAnsi="仿宋" w:cs="仿宋" w:hint="eastAsia"/>
          <w:sz w:val="24"/>
        </w:rPr>
        <w:t>参与公司、设计、印刷技术交流会议；</w:t>
      </w:r>
    </w:p>
    <w:p w:rsidR="00742838" w:rsidRDefault="00E75D88">
      <w:pPr>
        <w:pStyle w:val="ListParagraph1"/>
        <w:numPr>
          <w:ilvl w:val="0"/>
          <w:numId w:val="1"/>
        </w:numPr>
        <w:spacing w:after="0" w:line="360" w:lineRule="auto"/>
        <w:ind w:left="0" w:firstLine="480"/>
        <w:rPr>
          <w:rFonts w:ascii="仿宋" w:eastAsia="仿宋" w:hAnsi="仿宋" w:cs="仿宋"/>
          <w:sz w:val="24"/>
        </w:rPr>
      </w:pPr>
      <w:r>
        <w:rPr>
          <w:rFonts w:ascii="仿宋" w:eastAsia="仿宋" w:hAnsi="仿宋" w:cs="仿宋" w:hint="eastAsia"/>
          <w:sz w:val="24"/>
        </w:rPr>
        <w:t>派遣资深设计师参与学生综合作业；</w:t>
      </w:r>
    </w:p>
    <w:p w:rsidR="00742838" w:rsidRDefault="00E75D88">
      <w:pPr>
        <w:pStyle w:val="ListParagraph1"/>
        <w:spacing w:after="0" w:line="360" w:lineRule="auto"/>
        <w:ind w:firstLine="480"/>
        <w:rPr>
          <w:rFonts w:ascii="仿宋" w:eastAsia="仿宋" w:hAnsi="仿宋" w:cs="仿宋"/>
          <w:sz w:val="24"/>
        </w:rPr>
      </w:pPr>
      <w:r>
        <w:rPr>
          <w:rFonts w:ascii="仿宋" w:eastAsia="仿宋" w:hAnsi="仿宋" w:cs="仿宋" w:hint="eastAsia"/>
          <w:sz w:val="24"/>
        </w:rPr>
        <w:t>2、学院印刷物料质量保障：</w:t>
      </w:r>
    </w:p>
    <w:p w:rsidR="00742838" w:rsidRDefault="00E75D88">
      <w:pPr>
        <w:pStyle w:val="ListParagraph1"/>
        <w:numPr>
          <w:ilvl w:val="0"/>
          <w:numId w:val="2"/>
        </w:numPr>
        <w:spacing w:after="0" w:line="360" w:lineRule="auto"/>
        <w:ind w:left="0" w:firstLine="480"/>
        <w:rPr>
          <w:rFonts w:ascii="仿宋" w:eastAsia="仿宋" w:hAnsi="仿宋" w:cs="仿宋"/>
          <w:sz w:val="24"/>
        </w:rPr>
      </w:pPr>
      <w:r>
        <w:rPr>
          <w:rFonts w:ascii="仿宋" w:eastAsia="仿宋" w:hAnsi="仿宋" w:cs="仿宋" w:hint="eastAsia"/>
          <w:sz w:val="24"/>
        </w:rPr>
        <w:t>为保障学院印刷物料质量，每年提供一次深度设计指导；</w:t>
      </w:r>
    </w:p>
    <w:p w:rsidR="00742838" w:rsidRDefault="00E75D88">
      <w:pPr>
        <w:pStyle w:val="11"/>
        <w:spacing w:after="0"/>
        <w:ind w:firstLineChars="200" w:firstLine="482"/>
        <w:rPr>
          <w:rFonts w:ascii="仿宋" w:eastAsia="仿宋" w:hAnsi="仿宋" w:cs="仿宋"/>
          <w:color w:val="auto"/>
        </w:rPr>
      </w:pPr>
      <w:r>
        <w:rPr>
          <w:rFonts w:ascii="仿宋" w:eastAsia="仿宋" w:hAnsi="仿宋" w:cs="仿宋" w:hint="eastAsia"/>
          <w:color w:val="auto"/>
        </w:rPr>
        <w:t>八、问题与展望</w:t>
      </w:r>
    </w:p>
    <w:p w:rsidR="00742838" w:rsidRDefault="00E75D88" w:rsidP="009A7BCC">
      <w:pPr>
        <w:widowControl/>
        <w:spacing w:after="0" w:line="360" w:lineRule="auto"/>
        <w:ind w:firstLineChars="200" w:firstLine="480"/>
        <w:jc w:val="left"/>
        <w:rPr>
          <w:rFonts w:ascii="宋体" w:eastAsia="宋体" w:hAnsi="宋体" w:cs="宋体"/>
          <w:kern w:val="0"/>
          <w:sz w:val="24"/>
          <w:szCs w:val="24"/>
        </w:rPr>
      </w:pPr>
      <w:r>
        <w:rPr>
          <w:rFonts w:ascii="仿宋" w:eastAsia="仿宋" w:hAnsi="仿宋" w:cs="仿宋" w:hint="eastAsia"/>
          <w:kern w:val="0"/>
          <w:sz w:val="24"/>
          <w:szCs w:val="24"/>
        </w:rPr>
        <w:t>希望学校为南京百枢文化科技有限公司输送合格可用的人才以及科研成果，我公司愿意为南京工业职业技术大学艺术设计学院视觉传达设计专业与行业企业合作进行基于工作过程的课程开发与设计提供了更好的条件。将课堂建到生产一线，在实践教学方案设计与实施、指导教师配备、协同管理、实习实训安全保障等方面与企业密切合作，提高教学效果。建立服务于教科研骨干团队的科研、实训、培训等，兼顾学生的实践操作训练的高新技术研发实训室，改进现有导师工作室的技术研发环境，提高双师型教师的研发能力，同时为培养复合型、专业型、前沿型、创新型的视觉传达设计艺术人才提供有力保障。</w:t>
      </w:r>
    </w:p>
    <w:sectPr w:rsidR="00742838">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327" w:rsidRDefault="00ED1327">
      <w:pPr>
        <w:spacing w:line="240" w:lineRule="auto"/>
      </w:pPr>
      <w:r>
        <w:separator/>
      </w:r>
    </w:p>
  </w:endnote>
  <w:endnote w:type="continuationSeparator" w:id="0">
    <w:p w:rsidR="00ED1327" w:rsidRDefault="00ED1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431989"/>
      <w:docPartObj>
        <w:docPartGallery w:val="Page Numbers (Bottom of Page)"/>
        <w:docPartUnique/>
      </w:docPartObj>
    </w:sdtPr>
    <w:sdtEndPr/>
    <w:sdtContent>
      <w:p w:rsidR="009A7BCC" w:rsidRDefault="009A7BCC">
        <w:pPr>
          <w:pStyle w:val="a4"/>
          <w:jc w:val="center"/>
        </w:pPr>
        <w:r>
          <w:fldChar w:fldCharType="begin"/>
        </w:r>
        <w:r>
          <w:instrText>PAGE   \* MERGEFORMAT</w:instrText>
        </w:r>
        <w:r>
          <w:fldChar w:fldCharType="separate"/>
        </w:r>
        <w:r w:rsidR="009E6E95" w:rsidRPr="009E6E95">
          <w:rPr>
            <w:noProof/>
            <w:lang w:val="zh-CN"/>
          </w:rPr>
          <w:t>5</w:t>
        </w:r>
        <w:r>
          <w:fldChar w:fldCharType="end"/>
        </w:r>
      </w:p>
    </w:sdtContent>
  </w:sdt>
  <w:p w:rsidR="009A7BCC" w:rsidRDefault="009A7B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327" w:rsidRDefault="00ED1327">
      <w:pPr>
        <w:spacing w:after="0"/>
      </w:pPr>
      <w:r>
        <w:separator/>
      </w:r>
    </w:p>
  </w:footnote>
  <w:footnote w:type="continuationSeparator" w:id="0">
    <w:p w:rsidR="00ED1327" w:rsidRDefault="00ED13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6705C"/>
    <w:multiLevelType w:val="multilevel"/>
    <w:tmpl w:val="217670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FE36B0E"/>
    <w:multiLevelType w:val="multilevel"/>
    <w:tmpl w:val="4FE36B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1ZDBlNjU2NDU3YWNiZGQyYTIyN2E0OWNhMTQ4OWQifQ=="/>
  </w:docVars>
  <w:rsids>
    <w:rsidRoot w:val="009E2E4F"/>
    <w:rsid w:val="00004196"/>
    <w:rsid w:val="000527C7"/>
    <w:rsid w:val="0006216C"/>
    <w:rsid w:val="00092AD4"/>
    <w:rsid w:val="000B42AF"/>
    <w:rsid w:val="001477AD"/>
    <w:rsid w:val="0018002E"/>
    <w:rsid w:val="0019549C"/>
    <w:rsid w:val="0023444A"/>
    <w:rsid w:val="002435C9"/>
    <w:rsid w:val="00257441"/>
    <w:rsid w:val="0026594A"/>
    <w:rsid w:val="00272904"/>
    <w:rsid w:val="00285B0A"/>
    <w:rsid w:val="002B08EE"/>
    <w:rsid w:val="002B6288"/>
    <w:rsid w:val="002B6A46"/>
    <w:rsid w:val="0033537D"/>
    <w:rsid w:val="003621D3"/>
    <w:rsid w:val="003708A1"/>
    <w:rsid w:val="003876E0"/>
    <w:rsid w:val="00390B4F"/>
    <w:rsid w:val="003A700F"/>
    <w:rsid w:val="003D138E"/>
    <w:rsid w:val="00406606"/>
    <w:rsid w:val="0044519B"/>
    <w:rsid w:val="00473222"/>
    <w:rsid w:val="00480ACB"/>
    <w:rsid w:val="00491CC9"/>
    <w:rsid w:val="0050611A"/>
    <w:rsid w:val="005113A0"/>
    <w:rsid w:val="0053698A"/>
    <w:rsid w:val="005715E1"/>
    <w:rsid w:val="00592228"/>
    <w:rsid w:val="005926DE"/>
    <w:rsid w:val="005C3EBF"/>
    <w:rsid w:val="00627288"/>
    <w:rsid w:val="0064611E"/>
    <w:rsid w:val="00655BC8"/>
    <w:rsid w:val="006976A6"/>
    <w:rsid w:val="006D1A65"/>
    <w:rsid w:val="00740331"/>
    <w:rsid w:val="00742838"/>
    <w:rsid w:val="00757B9E"/>
    <w:rsid w:val="00761FE9"/>
    <w:rsid w:val="0079625E"/>
    <w:rsid w:val="00852C78"/>
    <w:rsid w:val="0086190B"/>
    <w:rsid w:val="0088246E"/>
    <w:rsid w:val="008B08CE"/>
    <w:rsid w:val="008C7A2D"/>
    <w:rsid w:val="00942943"/>
    <w:rsid w:val="00951034"/>
    <w:rsid w:val="00952A51"/>
    <w:rsid w:val="009973BE"/>
    <w:rsid w:val="009A7BCC"/>
    <w:rsid w:val="009E2E4F"/>
    <w:rsid w:val="009E6E95"/>
    <w:rsid w:val="00A06940"/>
    <w:rsid w:val="00AB09A0"/>
    <w:rsid w:val="00AC34A5"/>
    <w:rsid w:val="00AD5841"/>
    <w:rsid w:val="00B16995"/>
    <w:rsid w:val="00B35B74"/>
    <w:rsid w:val="00B35BA6"/>
    <w:rsid w:val="00BC2729"/>
    <w:rsid w:val="00BD7CC4"/>
    <w:rsid w:val="00C31CF2"/>
    <w:rsid w:val="00C60F32"/>
    <w:rsid w:val="00CD6CF5"/>
    <w:rsid w:val="00D10003"/>
    <w:rsid w:val="00D24295"/>
    <w:rsid w:val="00DF7C53"/>
    <w:rsid w:val="00E15975"/>
    <w:rsid w:val="00E24649"/>
    <w:rsid w:val="00E55664"/>
    <w:rsid w:val="00E556EA"/>
    <w:rsid w:val="00E64BCE"/>
    <w:rsid w:val="00E65BF0"/>
    <w:rsid w:val="00E73C5A"/>
    <w:rsid w:val="00E75D88"/>
    <w:rsid w:val="00EA08CC"/>
    <w:rsid w:val="00EA1BED"/>
    <w:rsid w:val="00ED1327"/>
    <w:rsid w:val="00EE53A0"/>
    <w:rsid w:val="00EF4B79"/>
    <w:rsid w:val="00F003B5"/>
    <w:rsid w:val="00F20354"/>
    <w:rsid w:val="00F53F94"/>
    <w:rsid w:val="00F57606"/>
    <w:rsid w:val="00F83811"/>
    <w:rsid w:val="00FA0294"/>
    <w:rsid w:val="00FF2320"/>
    <w:rsid w:val="011E1FE4"/>
    <w:rsid w:val="02555ED9"/>
    <w:rsid w:val="02B0310F"/>
    <w:rsid w:val="036C4B06"/>
    <w:rsid w:val="03B17EF0"/>
    <w:rsid w:val="05D74C31"/>
    <w:rsid w:val="06AD4461"/>
    <w:rsid w:val="07FF0B9B"/>
    <w:rsid w:val="0B1F0E32"/>
    <w:rsid w:val="0D8B27AF"/>
    <w:rsid w:val="0ED91C40"/>
    <w:rsid w:val="0F73799F"/>
    <w:rsid w:val="104B091B"/>
    <w:rsid w:val="104E48F7"/>
    <w:rsid w:val="11E80A94"/>
    <w:rsid w:val="12DB7D35"/>
    <w:rsid w:val="149C415F"/>
    <w:rsid w:val="14C03686"/>
    <w:rsid w:val="15284D87"/>
    <w:rsid w:val="160E7D98"/>
    <w:rsid w:val="1651030E"/>
    <w:rsid w:val="16E8315C"/>
    <w:rsid w:val="1722468F"/>
    <w:rsid w:val="182932F0"/>
    <w:rsid w:val="1ADE4866"/>
    <w:rsid w:val="1AEB2ADF"/>
    <w:rsid w:val="1B3C158C"/>
    <w:rsid w:val="1B8D003A"/>
    <w:rsid w:val="1E9B4D89"/>
    <w:rsid w:val="1F8452B0"/>
    <w:rsid w:val="20A165F4"/>
    <w:rsid w:val="21423675"/>
    <w:rsid w:val="21AB746C"/>
    <w:rsid w:val="22873A35"/>
    <w:rsid w:val="235A4CA6"/>
    <w:rsid w:val="23B5012E"/>
    <w:rsid w:val="23C6233B"/>
    <w:rsid w:val="241035B6"/>
    <w:rsid w:val="245B6F27"/>
    <w:rsid w:val="249B0CBF"/>
    <w:rsid w:val="25F93672"/>
    <w:rsid w:val="26DB7EAB"/>
    <w:rsid w:val="276C3D5C"/>
    <w:rsid w:val="27DD460A"/>
    <w:rsid w:val="286C0ABC"/>
    <w:rsid w:val="2A2E4796"/>
    <w:rsid w:val="2D095E32"/>
    <w:rsid w:val="2DD613CD"/>
    <w:rsid w:val="2E7B3D22"/>
    <w:rsid w:val="312C3C9C"/>
    <w:rsid w:val="32D83E39"/>
    <w:rsid w:val="35BA456B"/>
    <w:rsid w:val="35C4448D"/>
    <w:rsid w:val="382A2A41"/>
    <w:rsid w:val="39240A54"/>
    <w:rsid w:val="3ACF167E"/>
    <w:rsid w:val="3BC92571"/>
    <w:rsid w:val="3C2B322B"/>
    <w:rsid w:val="3D536A4C"/>
    <w:rsid w:val="3E371A14"/>
    <w:rsid w:val="3E3F419D"/>
    <w:rsid w:val="3E42660A"/>
    <w:rsid w:val="3F261A88"/>
    <w:rsid w:val="405368AD"/>
    <w:rsid w:val="410020DD"/>
    <w:rsid w:val="420F2CA7"/>
    <w:rsid w:val="43BB6C43"/>
    <w:rsid w:val="441F3676"/>
    <w:rsid w:val="45244CBC"/>
    <w:rsid w:val="4867383D"/>
    <w:rsid w:val="49663AF5"/>
    <w:rsid w:val="4A8D4960"/>
    <w:rsid w:val="4ABD14F2"/>
    <w:rsid w:val="4B887D52"/>
    <w:rsid w:val="4CD84533"/>
    <w:rsid w:val="4E543AF1"/>
    <w:rsid w:val="4E6C5F3F"/>
    <w:rsid w:val="4E816CDB"/>
    <w:rsid w:val="4F887C95"/>
    <w:rsid w:val="50F43794"/>
    <w:rsid w:val="51ED4DB3"/>
    <w:rsid w:val="52B21B59"/>
    <w:rsid w:val="536524C3"/>
    <w:rsid w:val="53AA2830"/>
    <w:rsid w:val="53DC17C1"/>
    <w:rsid w:val="545033D7"/>
    <w:rsid w:val="55EB123E"/>
    <w:rsid w:val="5714076C"/>
    <w:rsid w:val="571C1C97"/>
    <w:rsid w:val="5A9F29C3"/>
    <w:rsid w:val="5ACE61DC"/>
    <w:rsid w:val="6098413C"/>
    <w:rsid w:val="60FD0443"/>
    <w:rsid w:val="613025C6"/>
    <w:rsid w:val="62092E18"/>
    <w:rsid w:val="63CE4319"/>
    <w:rsid w:val="66763171"/>
    <w:rsid w:val="67334BBF"/>
    <w:rsid w:val="69990F25"/>
    <w:rsid w:val="6BA240C1"/>
    <w:rsid w:val="6BB23A09"/>
    <w:rsid w:val="6C3C2767"/>
    <w:rsid w:val="6CA976D1"/>
    <w:rsid w:val="6D635AD2"/>
    <w:rsid w:val="6DD4077E"/>
    <w:rsid w:val="6DF57072"/>
    <w:rsid w:val="6EFA2466"/>
    <w:rsid w:val="6F655B31"/>
    <w:rsid w:val="6FEC0000"/>
    <w:rsid w:val="70D84C48"/>
    <w:rsid w:val="735D2FC3"/>
    <w:rsid w:val="73AF381F"/>
    <w:rsid w:val="74BF5CE3"/>
    <w:rsid w:val="756845CD"/>
    <w:rsid w:val="76D96E05"/>
    <w:rsid w:val="76E91C5E"/>
    <w:rsid w:val="775A11B5"/>
    <w:rsid w:val="778B0F16"/>
    <w:rsid w:val="7831514A"/>
    <w:rsid w:val="7AC35E02"/>
    <w:rsid w:val="7C663B24"/>
    <w:rsid w:val="7D0C7F34"/>
    <w:rsid w:val="7DFC0E94"/>
    <w:rsid w:val="7E520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1895AD1-9B63-4A6A-BA35-9BB77BDE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autoRedefine/>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4">
    <w:name w:val="heading 4"/>
    <w:basedOn w:val="a"/>
    <w:next w:val="a"/>
    <w:autoRedefine/>
    <w:uiPriority w:val="9"/>
    <w:unhideWhenUsed/>
    <w:qFormat/>
    <w:pPr>
      <w:keepNext/>
      <w:keepLines/>
      <w:spacing w:beforeLines="50" w:before="50" w:afterLines="50" w:after="50" w:line="480" w:lineRule="exact"/>
      <w:ind w:firstLineChars="300" w:firstLine="2530"/>
      <w:outlineLvl w:val="3"/>
    </w:pPr>
    <w:rPr>
      <w:rFonts w:ascii="Arial" w:eastAsia="仿宋"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autoRedefine/>
    <w:uiPriority w:val="39"/>
    <w:unhideWhenUsed/>
    <w:qFormat/>
    <w:pPr>
      <w:widowControl/>
      <w:spacing w:after="100"/>
      <w:ind w:left="440"/>
      <w:jc w:val="left"/>
    </w:pPr>
    <w:rPr>
      <w:rFonts w:cs="Times New Roman"/>
      <w:kern w:val="0"/>
      <w:sz w:val="22"/>
    </w:rPr>
  </w:style>
  <w:style w:type="paragraph" w:styleId="a3">
    <w:name w:val="Balloon Text"/>
    <w:basedOn w:val="a"/>
    <w:link w:val="Char"/>
    <w:autoRedefine/>
    <w:uiPriority w:val="99"/>
    <w:semiHidden/>
    <w:unhideWhenUsed/>
    <w:qFormat/>
    <w:pPr>
      <w:spacing w:after="0" w:line="240" w:lineRule="auto"/>
    </w:pPr>
    <w:rPr>
      <w:rFonts w:ascii="Segoe UI" w:hAnsi="Segoe UI" w:cs="Segoe UI"/>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widowControl/>
      <w:spacing w:after="100"/>
      <w:jc w:val="left"/>
    </w:pPr>
    <w:rPr>
      <w:rFonts w:cs="Times New Roman"/>
      <w:kern w:val="0"/>
      <w:sz w:val="22"/>
    </w:rPr>
  </w:style>
  <w:style w:type="paragraph" w:styleId="2">
    <w:name w:val="toc 2"/>
    <w:basedOn w:val="a"/>
    <w:next w:val="a"/>
    <w:autoRedefine/>
    <w:uiPriority w:val="39"/>
    <w:unhideWhenUsed/>
    <w:qFormat/>
    <w:pPr>
      <w:widowControl/>
      <w:spacing w:after="100"/>
      <w:ind w:left="220"/>
      <w:jc w:val="left"/>
    </w:pPr>
    <w:rPr>
      <w:rFonts w:cs="Times New Roman"/>
      <w:kern w:val="0"/>
      <w:sz w:val="22"/>
    </w:r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character" w:customStyle="1" w:styleId="Char">
    <w:name w:val="批注框文本 Char"/>
    <w:basedOn w:val="a0"/>
    <w:link w:val="a3"/>
    <w:autoRedefine/>
    <w:uiPriority w:val="99"/>
    <w:semiHidden/>
    <w:qFormat/>
    <w:rPr>
      <w:rFonts w:ascii="Segoe UI" w:hAnsi="Segoe UI" w:cs="Segoe UI"/>
      <w:kern w:val="2"/>
      <w:sz w:val="18"/>
      <w:szCs w:val="18"/>
    </w:rPr>
  </w:style>
  <w:style w:type="character" w:customStyle="1" w:styleId="BodyChar1">
    <w:name w:val="Body Char1"/>
    <w:link w:val="Body"/>
    <w:autoRedefine/>
    <w:qFormat/>
    <w:rPr>
      <w:rFonts w:ascii="Arial" w:hAnsi="Arial"/>
      <w:sz w:val="22"/>
      <w:lang w:eastAsia="en-US"/>
    </w:rPr>
  </w:style>
  <w:style w:type="paragraph" w:customStyle="1" w:styleId="Body">
    <w:name w:val="Body"/>
    <w:link w:val="BodyChar1"/>
    <w:autoRedefine/>
    <w:qFormat/>
    <w:pPr>
      <w:spacing w:after="120"/>
      <w:ind w:left="1418"/>
    </w:pPr>
    <w:rPr>
      <w:rFonts w:ascii="Arial" w:eastAsiaTheme="minorEastAsia" w:hAnsi="Arial" w:cstheme="minorBidi"/>
      <w:sz w:val="22"/>
      <w:lang w:eastAsia="en-US"/>
    </w:rPr>
  </w:style>
  <w:style w:type="paragraph" w:customStyle="1" w:styleId="ListParagraph1">
    <w:name w:val="List Paragraph1"/>
    <w:basedOn w:val="a"/>
    <w:autoRedefine/>
    <w:uiPriority w:val="34"/>
    <w:qFormat/>
    <w:pPr>
      <w:ind w:firstLineChars="200" w:firstLine="420"/>
    </w:pPr>
    <w:rPr>
      <w:rFonts w:ascii="Times New Roman" w:eastAsia="宋体" w:hAnsi="Times New Roman" w:cs="Times New Roman"/>
      <w:szCs w:val="24"/>
    </w:rPr>
  </w:style>
  <w:style w:type="character" w:customStyle="1" w:styleId="1Char">
    <w:name w:val="标题 1 Char"/>
    <w:basedOn w:val="a0"/>
    <w:link w:val="1"/>
    <w:autoRedefine/>
    <w:uiPriority w:val="9"/>
    <w:qFormat/>
    <w:rPr>
      <w:b/>
      <w:bCs/>
      <w:kern w:val="44"/>
      <w:sz w:val="44"/>
      <w:szCs w:val="44"/>
    </w:rPr>
  </w:style>
  <w:style w:type="paragraph" w:customStyle="1" w:styleId="TOC1">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1">
    <w:name w:val="标题1"/>
    <w:basedOn w:val="a"/>
    <w:link w:val="12"/>
    <w:autoRedefine/>
    <w:qFormat/>
    <w:pPr>
      <w:widowControl/>
      <w:spacing w:line="360" w:lineRule="auto"/>
      <w:jc w:val="left"/>
    </w:pPr>
    <w:rPr>
      <w:rFonts w:ascii="宋体" w:eastAsia="宋体" w:hAnsi="宋体" w:cs="宋体"/>
      <w:b/>
      <w:bCs/>
      <w:color w:val="222222"/>
      <w:kern w:val="0"/>
      <w:sz w:val="24"/>
      <w:szCs w:val="24"/>
    </w:rPr>
  </w:style>
  <w:style w:type="character" w:customStyle="1" w:styleId="12">
    <w:name w:val="标题1 字符"/>
    <w:basedOn w:val="a0"/>
    <w:link w:val="11"/>
    <w:autoRedefine/>
    <w:qFormat/>
    <w:rPr>
      <w:rFonts w:ascii="宋体" w:eastAsia="宋体" w:hAnsi="宋体" w:cs="宋体"/>
      <w:b/>
      <w:bCs/>
      <w:color w:val="222222"/>
      <w:sz w:val="24"/>
      <w:szCs w:val="24"/>
    </w:rPr>
  </w:style>
  <w:style w:type="paragraph" w:styleId="a6">
    <w:name w:val="List Paragraph"/>
    <w:basedOn w:val="a"/>
    <w:autoRedefine/>
    <w:uiPriority w:val="34"/>
    <w:qFormat/>
    <w:pPr>
      <w:ind w:firstLineChars="200" w:firstLine="420"/>
    </w:pPr>
  </w:style>
  <w:style w:type="paragraph" w:customStyle="1" w:styleId="TOC2">
    <w:name w:val="TOC 标题2"/>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8E538-A35F-4BD9-BBF0-1F43E0182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qiao luo</dc:creator>
  <cp:lastModifiedBy>朱琳</cp:lastModifiedBy>
  <cp:revision>46</cp:revision>
  <cp:lastPrinted>2024-01-16T08:50:00Z</cp:lastPrinted>
  <dcterms:created xsi:type="dcterms:W3CDTF">2019-11-21T21:54:00Z</dcterms:created>
  <dcterms:modified xsi:type="dcterms:W3CDTF">2024-01-16T08:50:00Z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8AAFEC2C3B2D4A748589DFC011EBCA63_13</vt:lpwstr>
  </property>
</Properties>
</file>