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center"/>
        <w:rPr>
          <w:rFonts w:ascii="宋体" w:hAnsi="宋体" w:eastAsia="宋体" w:cs="宋体"/>
          <w:b/>
          <w:bCs/>
          <w:color w:val="222222"/>
          <w:kern w:val="0"/>
          <w:sz w:val="32"/>
          <w:szCs w:val="32"/>
        </w:rPr>
      </w:pPr>
      <w:r>
        <w:rPr>
          <w:rFonts w:ascii="宋体" w:hAnsi="宋体" w:eastAsia="宋体" w:cs="宋体"/>
          <w:b/>
          <w:bCs/>
          <w:color w:val="222222"/>
          <w:kern w:val="0"/>
          <w:sz w:val="32"/>
          <w:szCs w:val="32"/>
        </w:rPr>
        <w:drawing>
          <wp:inline distT="0" distB="0" distL="0" distR="0">
            <wp:extent cx="5758180" cy="8237855"/>
            <wp:effectExtent l="0" t="0" r="0" b="0"/>
            <wp:docPr id="10716756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675688"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770233" cy="8255338"/>
                    </a:xfrm>
                    <a:prstGeom prst="rect">
                      <a:avLst/>
                    </a:prstGeom>
                    <a:noFill/>
                    <a:ln>
                      <a:noFill/>
                    </a:ln>
                  </pic:spPr>
                </pic:pic>
              </a:graphicData>
            </a:graphic>
          </wp:inline>
        </w:drawing>
      </w:r>
    </w:p>
    <w:p>
      <w:pPr>
        <w:widowControl/>
        <w:spacing w:after="0" w:line="240" w:lineRule="auto"/>
        <w:jc w:val="left"/>
        <w:rPr>
          <w:rFonts w:hint="eastAsia" w:ascii="宋体" w:hAnsi="宋体" w:eastAsia="宋体" w:cs="宋体"/>
          <w:b/>
          <w:bCs/>
          <w:color w:val="222222"/>
          <w:kern w:val="0"/>
          <w:sz w:val="32"/>
          <w:szCs w:val="32"/>
        </w:rPr>
      </w:pPr>
      <w:r>
        <w:rPr>
          <w:rFonts w:ascii="宋体" w:hAnsi="宋体" w:eastAsia="宋体" w:cs="宋体"/>
          <w:b/>
          <w:bCs/>
          <w:color w:val="222222"/>
          <w:kern w:val="0"/>
          <w:sz w:val="32"/>
          <w:szCs w:val="32"/>
        </w:rPr>
        <w:br w:type="page"/>
      </w:r>
    </w:p>
    <w:sdt>
      <w:sdtPr>
        <w:rPr>
          <w:rFonts w:ascii="宋体" w:hAnsi="宋体" w:eastAsia="宋体" w:cstheme="minorBidi"/>
          <w:kern w:val="2"/>
          <w:sz w:val="21"/>
          <w:szCs w:val="22"/>
          <w:lang w:val="en-US" w:eastAsia="zh-CN" w:bidi="ar-SA"/>
        </w:rPr>
        <w:id w:val="147453481"/>
        <w15:color w:val="DBDBDB"/>
        <w:docPartObj>
          <w:docPartGallery w:val="Table of Contents"/>
          <w:docPartUnique/>
        </w:docPartObj>
      </w:sdtPr>
      <w:sdtEndPr>
        <w:rPr>
          <w:rFonts w:hint="eastAsia" w:ascii="宋体" w:hAnsi="宋体" w:eastAsia="宋体" w:cs="宋体"/>
          <w:bCs/>
          <w:kern w:val="2"/>
          <w:sz w:val="24"/>
          <w:szCs w:val="24"/>
          <w:lang w:val="zh-CN" w:eastAsia="zh-CN" w:bidi="ar-SA"/>
        </w:rPr>
      </w:sdtEndPr>
      <w:sdtContent>
        <w:p>
          <w:pPr>
            <w:spacing w:before="0" w:beforeLines="0" w:after="0" w:afterLines="0" w:line="240" w:lineRule="auto"/>
            <w:ind w:left="0" w:leftChars="0" w:right="0" w:rightChars="0" w:firstLine="0" w:firstLineChars="0"/>
            <w:jc w:val="center"/>
            <w:rPr>
              <w:rFonts w:ascii="宋体" w:hAnsi="宋体" w:eastAsia="宋体"/>
              <w:b/>
              <w:bCs/>
              <w:sz w:val="28"/>
              <w:szCs w:val="28"/>
            </w:rPr>
          </w:pPr>
          <w:bookmarkStart w:id="10" w:name="_GoBack"/>
          <w:bookmarkEnd w:id="10"/>
          <w:r>
            <w:rPr>
              <w:rFonts w:ascii="宋体" w:hAnsi="宋体" w:eastAsia="宋体"/>
              <w:b/>
              <w:bCs/>
              <w:sz w:val="28"/>
              <w:szCs w:val="28"/>
            </w:rPr>
            <w:t>目录</w:t>
          </w:r>
        </w:p>
        <w:p>
          <w:pPr>
            <w:spacing w:before="0" w:beforeLines="0" w:after="0" w:afterLines="0" w:line="240" w:lineRule="auto"/>
            <w:ind w:left="0" w:leftChars="0" w:right="0" w:rightChars="0" w:firstLine="0" w:firstLineChars="0"/>
            <w:jc w:val="center"/>
            <w:rPr>
              <w:rFonts w:ascii="宋体" w:hAnsi="宋体" w:eastAsia="宋体"/>
              <w:b/>
              <w:bCs/>
              <w:sz w:val="28"/>
              <w:szCs w:val="28"/>
            </w:rPr>
          </w:pPr>
        </w:p>
        <w:p>
          <w:pPr>
            <w:pStyle w:val="8"/>
            <w:tabs>
              <w:tab w:val="right" w:leader="dot" w:pos="8306"/>
            </w:tabs>
            <w:spacing w:line="360" w:lineRule="auto"/>
            <w:rPr>
              <w:rFonts w:hint="eastAsia" w:ascii="宋体" w:hAnsi="宋体" w:eastAsia="宋体" w:cs="宋体"/>
            </w:rPr>
          </w:pPr>
          <w:r>
            <w:rPr>
              <w:rFonts w:hint="eastAsia" w:ascii="宋体" w:hAnsi="宋体" w:eastAsia="宋体" w:cs="宋体"/>
              <w:b/>
              <w:bCs/>
              <w:sz w:val="24"/>
              <w:szCs w:val="24"/>
              <w:lang w:val="zh-CN"/>
            </w:rPr>
            <w:fldChar w:fldCharType="begin"/>
          </w:r>
          <w:r>
            <w:rPr>
              <w:rFonts w:hint="eastAsia" w:ascii="宋体" w:hAnsi="宋体" w:eastAsia="宋体" w:cs="宋体"/>
              <w:b/>
              <w:bCs/>
              <w:sz w:val="24"/>
              <w:szCs w:val="24"/>
              <w:lang w:val="zh-CN"/>
            </w:rPr>
            <w:instrText xml:space="preserve">TOC \o "1-3" \h \u </w:instrText>
          </w:r>
          <w:r>
            <w:rPr>
              <w:rFonts w:hint="eastAsia" w:ascii="宋体" w:hAnsi="宋体" w:eastAsia="宋体" w:cs="宋体"/>
              <w:b/>
              <w:bCs/>
              <w:sz w:val="24"/>
              <w:szCs w:val="24"/>
              <w:lang w:val="zh-CN"/>
            </w:rPr>
            <w:fldChar w:fldCharType="separate"/>
          </w: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_Toc26021 </w:instrText>
          </w:r>
          <w:r>
            <w:rPr>
              <w:rFonts w:hint="eastAsia" w:ascii="宋体" w:hAnsi="宋体" w:eastAsia="宋体" w:cs="宋体"/>
              <w:bCs/>
              <w:szCs w:val="24"/>
              <w:lang w:val="zh-CN"/>
            </w:rPr>
            <w:fldChar w:fldCharType="separate"/>
          </w:r>
          <w:r>
            <w:rPr>
              <w:rFonts w:hint="eastAsia" w:ascii="宋体" w:hAnsi="宋体" w:eastAsia="宋体" w:cs="宋体"/>
            </w:rPr>
            <w:t>一、概况</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_Toc26021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8"/>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_Toc23249 </w:instrText>
          </w:r>
          <w:r>
            <w:rPr>
              <w:rFonts w:hint="eastAsia" w:ascii="宋体" w:hAnsi="宋体" w:eastAsia="宋体" w:cs="宋体"/>
              <w:bCs/>
              <w:szCs w:val="24"/>
              <w:lang w:val="zh-CN"/>
            </w:rPr>
            <w:fldChar w:fldCharType="separate"/>
          </w:r>
          <w:r>
            <w:rPr>
              <w:rFonts w:hint="eastAsia" w:ascii="宋体" w:hAnsi="宋体" w:eastAsia="宋体" w:cs="宋体"/>
            </w:rPr>
            <w:t>二、参与办学情况</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_Toc23249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8"/>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_Toc18665 </w:instrText>
          </w:r>
          <w:r>
            <w:rPr>
              <w:rFonts w:hint="eastAsia" w:ascii="宋体" w:hAnsi="宋体" w:eastAsia="宋体" w:cs="宋体"/>
              <w:bCs/>
              <w:szCs w:val="24"/>
              <w:lang w:val="zh-CN"/>
            </w:rPr>
            <w:fldChar w:fldCharType="separate"/>
          </w:r>
          <w:r>
            <w:rPr>
              <w:rFonts w:hint="eastAsia" w:ascii="宋体" w:hAnsi="宋体" w:eastAsia="宋体" w:cs="宋体"/>
            </w:rPr>
            <w:t>三、资源投入情况</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_Toc18665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8"/>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_Toc18875 </w:instrText>
          </w:r>
          <w:r>
            <w:rPr>
              <w:rFonts w:hint="eastAsia" w:ascii="宋体" w:hAnsi="宋体" w:eastAsia="宋体" w:cs="宋体"/>
              <w:bCs/>
              <w:szCs w:val="24"/>
              <w:lang w:val="zh-CN"/>
            </w:rPr>
            <w:fldChar w:fldCharType="separate"/>
          </w:r>
          <w:r>
            <w:rPr>
              <w:rFonts w:hint="eastAsia" w:ascii="宋体" w:hAnsi="宋体" w:eastAsia="宋体" w:cs="宋体"/>
            </w:rPr>
            <w:t>四、参与教学情况</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_Toc18875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9"/>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_Toc2596 </w:instrText>
          </w:r>
          <w:r>
            <w:rPr>
              <w:rFonts w:hint="eastAsia" w:ascii="宋体" w:hAnsi="宋体" w:eastAsia="宋体" w:cs="宋体"/>
              <w:bCs/>
              <w:szCs w:val="24"/>
              <w:lang w:val="zh-CN"/>
            </w:rPr>
            <w:fldChar w:fldCharType="separate"/>
          </w:r>
          <w:r>
            <w:rPr>
              <w:rFonts w:hint="eastAsia" w:ascii="宋体" w:hAnsi="宋体" w:eastAsia="宋体" w:cs="宋体"/>
            </w:rPr>
            <w:t>1.教学课程建设</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_Toc2596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9"/>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_Toc21437 </w:instrText>
          </w:r>
          <w:r>
            <w:rPr>
              <w:rFonts w:hint="eastAsia" w:ascii="宋体" w:hAnsi="宋体" w:eastAsia="宋体" w:cs="宋体"/>
              <w:bCs/>
              <w:szCs w:val="24"/>
              <w:lang w:val="zh-CN"/>
            </w:rPr>
            <w:fldChar w:fldCharType="separate"/>
          </w:r>
          <w:r>
            <w:rPr>
              <w:rFonts w:hint="eastAsia" w:ascii="宋体" w:hAnsi="宋体" w:eastAsia="宋体" w:cs="宋体"/>
            </w:rPr>
            <w:t>2. 学生培训工作</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_Toc21437 \h </w:instrText>
          </w:r>
          <w:r>
            <w:rPr>
              <w:rFonts w:hint="eastAsia" w:ascii="宋体" w:hAnsi="宋体" w:eastAsia="宋体" w:cs="宋体"/>
            </w:rPr>
            <w:fldChar w:fldCharType="separate"/>
          </w:r>
          <w:r>
            <w:rPr>
              <w:rFonts w:hint="eastAsia" w:ascii="宋体" w:hAnsi="宋体" w:eastAsia="宋体" w:cs="宋体"/>
            </w:rPr>
            <w:t>3</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8"/>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_Toc7201 </w:instrText>
          </w:r>
          <w:r>
            <w:rPr>
              <w:rFonts w:hint="eastAsia" w:ascii="宋体" w:hAnsi="宋体" w:eastAsia="宋体" w:cs="宋体"/>
              <w:bCs/>
              <w:szCs w:val="24"/>
              <w:lang w:val="zh-CN"/>
            </w:rPr>
            <w:fldChar w:fldCharType="separate"/>
          </w:r>
          <w:r>
            <w:rPr>
              <w:rFonts w:hint="eastAsia" w:ascii="宋体" w:hAnsi="宋体" w:eastAsia="宋体" w:cs="宋体"/>
            </w:rPr>
            <w:t>五、助推企业发展情况</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_Toc7201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8"/>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_Toc16985 </w:instrText>
          </w:r>
          <w:r>
            <w:rPr>
              <w:rFonts w:hint="eastAsia" w:ascii="宋体" w:hAnsi="宋体" w:eastAsia="宋体" w:cs="宋体"/>
              <w:bCs/>
              <w:szCs w:val="24"/>
              <w:lang w:val="zh-CN"/>
            </w:rPr>
            <w:fldChar w:fldCharType="separate"/>
          </w:r>
          <w:r>
            <w:rPr>
              <w:rFonts w:hint="eastAsia" w:ascii="宋体" w:hAnsi="宋体" w:eastAsia="宋体" w:cs="宋体"/>
            </w:rPr>
            <w:t>六、服务地方</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_Toc16985 \h </w:instrText>
          </w:r>
          <w:r>
            <w:rPr>
              <w:rFonts w:hint="eastAsia" w:ascii="宋体" w:hAnsi="宋体" w:eastAsia="宋体" w:cs="宋体"/>
            </w:rPr>
            <w:fldChar w:fldCharType="separate"/>
          </w:r>
          <w:r>
            <w:rPr>
              <w:rFonts w:hint="eastAsia" w:ascii="宋体" w:hAnsi="宋体" w:eastAsia="宋体" w:cs="宋体"/>
            </w:rPr>
            <w:t>4</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8"/>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_Toc17591 </w:instrText>
          </w:r>
          <w:r>
            <w:rPr>
              <w:rFonts w:hint="eastAsia" w:ascii="宋体" w:hAnsi="宋体" w:eastAsia="宋体" w:cs="宋体"/>
              <w:bCs/>
              <w:szCs w:val="24"/>
              <w:lang w:val="zh-CN"/>
            </w:rPr>
            <w:fldChar w:fldCharType="separate"/>
          </w:r>
          <w:r>
            <w:rPr>
              <w:rFonts w:hint="eastAsia" w:ascii="宋体" w:hAnsi="宋体" w:eastAsia="宋体" w:cs="宋体"/>
            </w:rPr>
            <w:t>七、保障体系</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_Toc17591 \h </w:instrText>
          </w:r>
          <w:r>
            <w:rPr>
              <w:rFonts w:hint="eastAsia" w:ascii="宋体" w:hAnsi="宋体" w:eastAsia="宋体" w:cs="宋体"/>
            </w:rPr>
            <w:fldChar w:fldCharType="separate"/>
          </w:r>
          <w:r>
            <w:rPr>
              <w:rFonts w:hint="eastAsia" w:ascii="宋体" w:hAnsi="宋体" w:eastAsia="宋体" w:cs="宋体"/>
            </w:rPr>
            <w:t>5</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pStyle w:val="8"/>
            <w:tabs>
              <w:tab w:val="right" w:leader="dot" w:pos="8306"/>
            </w:tabs>
            <w:spacing w:line="360" w:lineRule="auto"/>
            <w:rPr>
              <w:rFonts w:hint="eastAsia" w:ascii="宋体" w:hAnsi="宋体" w:eastAsia="宋体" w:cs="宋体"/>
            </w:rPr>
          </w:pPr>
          <w:r>
            <w:rPr>
              <w:rFonts w:hint="eastAsia" w:ascii="宋体" w:hAnsi="宋体" w:eastAsia="宋体" w:cs="宋体"/>
              <w:bCs/>
              <w:szCs w:val="24"/>
              <w:lang w:val="zh-CN"/>
            </w:rPr>
            <w:fldChar w:fldCharType="begin"/>
          </w:r>
          <w:r>
            <w:rPr>
              <w:rFonts w:hint="eastAsia" w:ascii="宋体" w:hAnsi="宋体" w:eastAsia="宋体" w:cs="宋体"/>
              <w:bCs/>
              <w:szCs w:val="24"/>
              <w:lang w:val="zh-CN"/>
            </w:rPr>
            <w:instrText xml:space="preserve"> HYPERLINK \l _Toc17658 </w:instrText>
          </w:r>
          <w:r>
            <w:rPr>
              <w:rFonts w:hint="eastAsia" w:ascii="宋体" w:hAnsi="宋体" w:eastAsia="宋体" w:cs="宋体"/>
              <w:bCs/>
              <w:szCs w:val="24"/>
              <w:lang w:val="zh-CN"/>
            </w:rPr>
            <w:fldChar w:fldCharType="separate"/>
          </w:r>
          <w:r>
            <w:rPr>
              <w:rFonts w:hint="eastAsia" w:ascii="宋体" w:hAnsi="宋体" w:eastAsia="宋体" w:cs="宋体"/>
            </w:rPr>
            <w:t>八、问题与展望</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_Toc17658 \h </w:instrText>
          </w:r>
          <w:r>
            <w:rPr>
              <w:rFonts w:hint="eastAsia" w:ascii="宋体" w:hAnsi="宋体" w:eastAsia="宋体" w:cs="宋体"/>
            </w:rPr>
            <w:fldChar w:fldCharType="separate"/>
          </w:r>
          <w:r>
            <w:rPr>
              <w:rFonts w:hint="eastAsia" w:ascii="宋体" w:hAnsi="宋体" w:eastAsia="宋体" w:cs="宋体"/>
            </w:rPr>
            <w:t>5</w:t>
          </w:r>
          <w:r>
            <w:rPr>
              <w:rFonts w:hint="eastAsia" w:ascii="宋体" w:hAnsi="宋体" w:eastAsia="宋体" w:cs="宋体"/>
            </w:rPr>
            <w:fldChar w:fldCharType="end"/>
          </w:r>
          <w:r>
            <w:rPr>
              <w:rFonts w:hint="eastAsia" w:ascii="宋体" w:hAnsi="宋体" w:eastAsia="宋体" w:cs="宋体"/>
              <w:bCs/>
              <w:szCs w:val="24"/>
              <w:lang w:val="zh-CN"/>
            </w:rPr>
            <w:fldChar w:fldCharType="end"/>
          </w:r>
        </w:p>
        <w:p>
          <w:pPr>
            <w:spacing w:line="360" w:lineRule="auto"/>
            <w:rPr>
              <w:rFonts w:hint="eastAsia" w:ascii="宋体" w:hAnsi="宋体" w:eastAsia="宋体" w:cs="宋体"/>
              <w:b/>
              <w:bCs/>
              <w:sz w:val="24"/>
              <w:szCs w:val="24"/>
              <w:lang w:val="zh-CN"/>
            </w:rPr>
          </w:pPr>
          <w:r>
            <w:rPr>
              <w:rFonts w:hint="eastAsia" w:ascii="宋体" w:hAnsi="宋体" w:eastAsia="宋体" w:cs="宋体"/>
              <w:bCs/>
              <w:szCs w:val="24"/>
              <w:lang w:val="zh-CN"/>
            </w:rPr>
            <w:fldChar w:fldCharType="end"/>
          </w:r>
        </w:p>
      </w:sdtContent>
    </w:sdt>
    <w:p/>
    <w:p/>
    <w:p/>
    <w:p/>
    <w:p>
      <w:pPr>
        <w:sectPr>
          <w:pgSz w:w="11906" w:h="16838"/>
          <w:pgMar w:top="1440" w:right="1800" w:bottom="1440" w:left="1800" w:header="851" w:footer="992" w:gutter="0"/>
          <w:cols w:space="425" w:num="1"/>
          <w:docGrid w:type="lines" w:linePitch="312" w:charSpace="0"/>
        </w:sectPr>
      </w:pPr>
    </w:p>
    <w:p>
      <w:pPr>
        <w:pStyle w:val="2"/>
        <w:bidi w:val="0"/>
        <w:rPr>
          <w:rFonts w:ascii="宋体" w:hAnsi="宋体" w:eastAsia="宋体" w:cs="宋体"/>
          <w:b/>
          <w:bCs/>
          <w:color w:val="222222"/>
          <w:kern w:val="0"/>
          <w:sz w:val="24"/>
          <w:szCs w:val="24"/>
        </w:rPr>
      </w:pPr>
      <w:bookmarkStart w:id="0" w:name="_Toc26021"/>
      <w:r>
        <w:rPr>
          <w:rStyle w:val="22"/>
          <w:rFonts w:hint="eastAsia"/>
          <w:b/>
          <w:bCs/>
        </w:rPr>
        <w:t>一、概况</w:t>
      </w:r>
      <w:bookmarkEnd w:id="0"/>
    </w:p>
    <w:p>
      <w:pPr>
        <w:bidi w:val="0"/>
        <w:ind w:firstLine="420" w:firstLineChars="0"/>
        <w:rPr>
          <w:rFonts w:hint="eastAsia"/>
        </w:rPr>
      </w:pPr>
      <w:r>
        <w:rPr>
          <w:rFonts w:hint="eastAsia"/>
        </w:rPr>
        <w:t>连云港创写文化传媒有限公司成立于2017年4月，注册资本1000万元，专注于跨境电商运营管理服务，是江苏东海文旅集团的全资子公司。创写文化主营跨境电商直播与培训、直播代运营、电商创业孵化等业务。公司设有直播、运营、教培、客服、市场、行政等多个职能部门，有专职工作人员20余人。公司本部位于享有“世界水晶之都”的江苏省东海县，因此有了依托“世界水晶之都”的优势与资源。公司创立以来，通过以水晶为媒介，TIKTOK、FACEBOOK、阿里巴巴国际站等跨境电商平台为桥梁，大力宣扬东海水晶文化，助力提升水晶产业发展水平，多次受到市县级荣誉表扬，多次接待省市级领导参观考察。目前，公司正在稳步上升阶段，业绩逐年增长，致力于打造行业生态链服务第一品牌、跨境电商培训第一品牌、跨境电商展览会议服务第一品牌。</w:t>
      </w:r>
    </w:p>
    <w:p>
      <w:pPr>
        <w:pStyle w:val="2"/>
        <w:bidi w:val="0"/>
      </w:pPr>
      <w:bookmarkStart w:id="1" w:name="_Toc23249"/>
      <w:r>
        <w:rPr>
          <w:rFonts w:hint="eastAsia"/>
        </w:rPr>
        <w:t>二、参与办学情况</w:t>
      </w:r>
      <w:bookmarkEnd w:id="1"/>
    </w:p>
    <w:p>
      <w:pPr>
        <w:bidi w:val="0"/>
        <w:ind w:firstLine="420" w:firstLineChars="0"/>
      </w:pPr>
      <w:r>
        <w:rPr>
          <w:rFonts w:hint="eastAsia"/>
        </w:rPr>
        <w:t>通过校企合作模式，为学校学生搭建企业实践平台，让在校学生得到“理论+实践”的充分学习的机会，同时利用寒暑假于东海县开展跨境电商培训，为参与到跨境电商行业的学生提供了优质的实战模拟机会。另外，创写文化通过南京工业职业技术大学的优质平台，参与了各类跨境电商相关的培训活动，为跨境电商行业的发展提供了丰富的人才培养与储备。</w:t>
      </w:r>
    </w:p>
    <w:p>
      <w:pPr>
        <w:pStyle w:val="2"/>
        <w:bidi w:val="0"/>
      </w:pPr>
      <w:bookmarkStart w:id="2" w:name="_Toc18665"/>
      <w:r>
        <w:rPr>
          <w:rFonts w:hint="eastAsia"/>
        </w:rPr>
        <w:t>三、资源投入情况</w:t>
      </w:r>
      <w:bookmarkEnd w:id="2"/>
    </w:p>
    <w:p>
      <w:pPr>
        <w:bidi w:val="0"/>
        <w:ind w:firstLine="420" w:firstLineChars="0"/>
        <w:rPr>
          <w:rFonts w:hint="eastAsia" w:ascii="宋体" w:hAnsi="宋体" w:eastAsia="宋体" w:cs="宋体"/>
          <w:color w:val="222222"/>
          <w:kern w:val="0"/>
          <w:sz w:val="24"/>
          <w:szCs w:val="24"/>
        </w:rPr>
      </w:pPr>
      <w:r>
        <w:rPr>
          <w:rFonts w:hint="eastAsia"/>
        </w:rPr>
        <w:t>2022年6月，按照东海文旅集团指示，创写文化承接了集团与南京工业职业技术大学校的跨境电商校企合作项目，组建跨境电商团队前往南京工业职业技术大学跟进项目，2023年5月于南工职大“国家创新创业示范基地”内建设了总投资300余万的“跨境电商创新实践中心”，该实践中心面积共255平，设有3个直播间、商品展示品、接待区、订单存放区等各类跨境电商所需的功能区域，可用于日常直播、视频拍摄剪辑、后台服务、订单处理等。另实践中心还安装有各类展柜、展架，用于摆放展示水晶类雕刻摆件、水晶工艺品、水晶珠宝类首饰等商品，共计一万三千余件。</w:t>
      </w:r>
    </w:p>
    <w:tbl>
      <w:tblPr>
        <w:tblStyle w:val="1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rPr>
          <w:jc w:val="center"/>
        </w:trPr>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hint="eastAsia" w:ascii="宋体" w:hAnsi="宋体" w:eastAsia="宋体" w:cs="宋体"/>
                <w:color w:val="222222"/>
                <w:kern w:val="0"/>
                <w:sz w:val="24"/>
                <w:szCs w:val="24"/>
              </w:rPr>
              <w:drawing>
                <wp:inline distT="0" distB="0" distL="114300" distR="114300">
                  <wp:extent cx="2219960" cy="1322070"/>
                  <wp:effectExtent l="0" t="0" r="8890" b="11430"/>
                  <wp:docPr id="1" name="图片 1" descr="57e39bde146193594789f4e1685d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7e39bde146193594789f4e1685dc24"/>
                          <pic:cNvPicPr>
                            <a:picLocks noChangeAspect="1"/>
                          </pic:cNvPicPr>
                        </pic:nvPicPr>
                        <pic:blipFill>
                          <a:blip r:embed="rId8"/>
                          <a:stretch>
                            <a:fillRect/>
                          </a:stretch>
                        </pic:blipFill>
                        <pic:spPr>
                          <a:xfrm>
                            <a:off x="0" y="0"/>
                            <a:ext cx="2219960" cy="1322070"/>
                          </a:xfrm>
                          <a:prstGeom prst="rect">
                            <a:avLst/>
                          </a:prstGeom>
                        </pic:spPr>
                      </pic:pic>
                    </a:graphicData>
                  </a:graphic>
                </wp:inline>
              </w:drawing>
            </w:r>
          </w:p>
        </w:tc>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hint="eastAsia" w:ascii="宋体" w:hAnsi="宋体" w:eastAsia="宋体" w:cs="宋体"/>
                <w:color w:val="222222"/>
                <w:kern w:val="0"/>
                <w:sz w:val="24"/>
                <w:szCs w:val="24"/>
              </w:rPr>
              <w:drawing>
                <wp:inline distT="0" distB="0" distL="114300" distR="114300">
                  <wp:extent cx="2215515" cy="1327785"/>
                  <wp:effectExtent l="0" t="0" r="13335" b="5715"/>
                  <wp:docPr id="11" name="图片 11" descr="5ae32931d99c9363537e0f08cb5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ae32931d99c9363537e0f08cb59510"/>
                          <pic:cNvPicPr>
                            <a:picLocks noChangeAspect="1"/>
                          </pic:cNvPicPr>
                        </pic:nvPicPr>
                        <pic:blipFill>
                          <a:blip r:embed="rId9"/>
                          <a:stretch>
                            <a:fillRect/>
                          </a:stretch>
                        </pic:blipFill>
                        <pic:spPr>
                          <a:xfrm>
                            <a:off x="0" y="0"/>
                            <a:ext cx="2226501" cy="1334362"/>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rPr>
          <w:jc w:val="center"/>
        </w:trPr>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hint="eastAsia" w:ascii="宋体" w:hAnsi="宋体" w:eastAsia="宋体" w:cs="宋体"/>
                <w:color w:val="222222"/>
                <w:kern w:val="0"/>
                <w:sz w:val="24"/>
                <w:szCs w:val="24"/>
              </w:rPr>
              <w:drawing>
                <wp:inline distT="0" distB="0" distL="114300" distR="114300">
                  <wp:extent cx="2266315" cy="1475740"/>
                  <wp:effectExtent l="0" t="0" r="635" b="10160"/>
                  <wp:docPr id="12" name="图片 12" descr="c48d85ff38789482b884021fded5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48d85ff38789482b884021fded5d57"/>
                          <pic:cNvPicPr>
                            <a:picLocks noChangeAspect="1"/>
                          </pic:cNvPicPr>
                        </pic:nvPicPr>
                        <pic:blipFill>
                          <a:blip r:embed="rId10"/>
                          <a:stretch>
                            <a:fillRect/>
                          </a:stretch>
                        </pic:blipFill>
                        <pic:spPr>
                          <a:xfrm>
                            <a:off x="0" y="0"/>
                            <a:ext cx="2266315" cy="1475740"/>
                          </a:xfrm>
                          <a:prstGeom prst="rect">
                            <a:avLst/>
                          </a:prstGeom>
                        </pic:spPr>
                      </pic:pic>
                    </a:graphicData>
                  </a:graphic>
                </wp:inline>
              </w:drawing>
            </w:r>
          </w:p>
        </w:tc>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hint="eastAsia" w:ascii="宋体" w:hAnsi="宋体" w:eastAsia="宋体" w:cs="宋体"/>
                <w:color w:val="222222"/>
                <w:kern w:val="0"/>
                <w:sz w:val="24"/>
                <w:szCs w:val="24"/>
              </w:rPr>
              <w:drawing>
                <wp:inline distT="0" distB="0" distL="114300" distR="114300">
                  <wp:extent cx="2155825" cy="1493520"/>
                  <wp:effectExtent l="0" t="0" r="15875" b="11430"/>
                  <wp:docPr id="13" name="图片 13" descr="b59d665766ccb1076fad53f727b5c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b59d665766ccb1076fad53f727b5c4d"/>
                          <pic:cNvPicPr>
                            <a:picLocks noChangeAspect="1"/>
                          </pic:cNvPicPr>
                        </pic:nvPicPr>
                        <pic:blipFill>
                          <a:blip r:embed="rId11"/>
                          <a:stretch>
                            <a:fillRect/>
                          </a:stretch>
                        </pic:blipFill>
                        <pic:spPr>
                          <a:xfrm rot="10800000" flipV="1">
                            <a:off x="0" y="0"/>
                            <a:ext cx="2155825" cy="1493520"/>
                          </a:xfrm>
                          <a:prstGeom prst="rect">
                            <a:avLst/>
                          </a:prstGeom>
                        </pic:spPr>
                      </pic:pic>
                    </a:graphicData>
                  </a:graphic>
                </wp:inline>
              </w:drawing>
            </w:r>
          </w:p>
        </w:tc>
      </w:tr>
    </w:tbl>
    <w:p>
      <w:pPr>
        <w:bidi w:val="0"/>
        <w:ind w:firstLine="420" w:firstLineChars="0"/>
        <w:rPr>
          <w:rFonts w:hint="eastAsia"/>
        </w:rPr>
      </w:pPr>
      <w:r>
        <w:rPr>
          <w:rFonts w:hint="eastAsia"/>
        </w:rPr>
        <w:t>同时，创写文化于南工职大商贸学院204教室内，搭建了“跨境电商直播基地”，该基地摆放展示各类跨境水晶产品共计200余万，可供5个团队同时进行直播销售。</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hint="eastAsia" w:ascii="宋体" w:hAnsi="宋体" w:eastAsia="宋体" w:cs="宋体"/>
                <w:color w:val="222222"/>
                <w:kern w:val="0"/>
                <w:sz w:val="24"/>
                <w:szCs w:val="24"/>
              </w:rPr>
              <w:drawing>
                <wp:inline distT="0" distB="0" distL="114300" distR="114300">
                  <wp:extent cx="2384425" cy="1788795"/>
                  <wp:effectExtent l="0" t="0" r="15875" b="1905"/>
                  <wp:docPr id="2" name="图片 2" descr="aaf5aa6143e4e854a910b23d98300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af5aa6143e4e854a910b23d983009e"/>
                          <pic:cNvPicPr>
                            <a:picLocks noChangeAspect="1"/>
                          </pic:cNvPicPr>
                        </pic:nvPicPr>
                        <pic:blipFill>
                          <a:blip r:embed="rId12"/>
                          <a:stretch>
                            <a:fillRect/>
                          </a:stretch>
                        </pic:blipFill>
                        <pic:spPr>
                          <a:xfrm>
                            <a:off x="0" y="0"/>
                            <a:ext cx="2384425" cy="1788795"/>
                          </a:xfrm>
                          <a:prstGeom prst="rect">
                            <a:avLst/>
                          </a:prstGeom>
                        </pic:spPr>
                      </pic:pic>
                    </a:graphicData>
                  </a:graphic>
                </wp:inline>
              </w:drawing>
            </w:r>
          </w:p>
        </w:tc>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hint="eastAsia" w:ascii="宋体" w:hAnsi="宋体" w:eastAsia="宋体" w:cs="宋体"/>
                <w:color w:val="222222"/>
                <w:kern w:val="0"/>
                <w:sz w:val="24"/>
                <w:szCs w:val="24"/>
              </w:rPr>
              <w:drawing>
                <wp:inline distT="0" distB="0" distL="114300" distR="114300">
                  <wp:extent cx="2386965" cy="1790065"/>
                  <wp:effectExtent l="0" t="0" r="13335" b="635"/>
                  <wp:docPr id="3" name="图片 3" descr="e0671586a76749e0bbed63bc4026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0671586a76749e0bbed63bc4026896"/>
                          <pic:cNvPicPr>
                            <a:picLocks noChangeAspect="1"/>
                          </pic:cNvPicPr>
                        </pic:nvPicPr>
                        <pic:blipFill>
                          <a:blip r:embed="rId13"/>
                          <a:stretch>
                            <a:fillRect/>
                          </a:stretch>
                        </pic:blipFill>
                        <pic:spPr>
                          <a:xfrm>
                            <a:off x="0" y="0"/>
                            <a:ext cx="2386965" cy="1790065"/>
                          </a:xfrm>
                          <a:prstGeom prst="rect">
                            <a:avLst/>
                          </a:prstGeom>
                        </pic:spPr>
                      </pic:pic>
                    </a:graphicData>
                  </a:graphic>
                </wp:inline>
              </w:drawing>
            </w:r>
          </w:p>
        </w:tc>
      </w:tr>
    </w:tbl>
    <w:p>
      <w:pPr>
        <w:pStyle w:val="2"/>
        <w:bidi w:val="0"/>
      </w:pPr>
      <w:bookmarkStart w:id="3" w:name="_Toc18875"/>
      <w:r>
        <w:rPr>
          <w:rFonts w:hint="eastAsia"/>
        </w:rPr>
        <w:t>四、参与教学情况</w:t>
      </w:r>
      <w:bookmarkEnd w:id="3"/>
    </w:p>
    <w:p>
      <w:pPr>
        <w:pStyle w:val="3"/>
        <w:bidi w:val="0"/>
      </w:pPr>
      <w:bookmarkStart w:id="4" w:name="_Toc2596"/>
      <w:r>
        <w:t>1.教学课程建设</w:t>
      </w:r>
      <w:bookmarkEnd w:id="4"/>
    </w:p>
    <w:p>
      <w:pPr>
        <w:bidi w:val="0"/>
        <w:ind w:firstLine="420" w:firstLineChars="0"/>
      </w:pPr>
      <w:r>
        <w:rPr>
          <w:rFonts w:hint="eastAsia"/>
        </w:rPr>
        <w:t>为学生以及各类培训活动提供TikTok跨境直播方面的课程：</w:t>
      </w:r>
    </w:p>
    <w:p>
      <w:pPr>
        <w:widowControl/>
        <w:spacing w:line="360" w:lineRule="auto"/>
        <w:jc w:val="left"/>
      </w:pPr>
      <w:r>
        <w:drawing>
          <wp:inline distT="0" distB="0" distL="114300" distR="114300">
            <wp:extent cx="5260340" cy="3444240"/>
            <wp:effectExtent l="0" t="0" r="16510" b="38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a:stretch>
                      <a:fillRect/>
                    </a:stretch>
                  </pic:blipFill>
                  <pic:spPr>
                    <a:xfrm>
                      <a:off x="0" y="0"/>
                      <a:ext cx="5260340" cy="3444240"/>
                    </a:xfrm>
                    <a:prstGeom prst="rect">
                      <a:avLst/>
                    </a:prstGeom>
                    <a:noFill/>
                    <a:ln>
                      <a:noFill/>
                    </a:ln>
                  </pic:spPr>
                </pic:pic>
              </a:graphicData>
            </a:graphic>
          </wp:inline>
        </w:drawing>
      </w:r>
    </w:p>
    <w:p>
      <w:pPr>
        <w:pStyle w:val="3"/>
        <w:numPr>
          <w:ilvl w:val="0"/>
          <w:numId w:val="1"/>
        </w:numPr>
        <w:bidi w:val="0"/>
      </w:pPr>
      <w:bookmarkStart w:id="5" w:name="_Toc21437"/>
      <w:r>
        <w:t>学生培训工作</w:t>
      </w:r>
      <w:bookmarkEnd w:id="5"/>
    </w:p>
    <w:p>
      <w:pPr>
        <w:bidi w:val="0"/>
        <w:ind w:firstLine="420" w:firstLineChars="0"/>
        <w:rPr>
          <w:rFonts w:hint="eastAsia"/>
        </w:rPr>
      </w:pPr>
      <w:r>
        <w:rPr>
          <w:rFonts w:hint="eastAsia"/>
        </w:rPr>
        <w:t>创写文化通过商贸学院内的“跨境电商直播基地”，开展多次培训活动，直观生动的把跨境直播行业的相关知识进行了讲述与传播，受到参与培训学生的诸多好评与认可。</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ascii="宋体" w:hAnsi="宋体" w:eastAsia="宋体" w:cs="宋体"/>
                <w:color w:val="222222"/>
                <w:kern w:val="0"/>
                <w:sz w:val="24"/>
                <w:szCs w:val="24"/>
              </w:rPr>
              <w:drawing>
                <wp:inline distT="0" distB="0" distL="114300" distR="114300">
                  <wp:extent cx="2266315" cy="1767205"/>
                  <wp:effectExtent l="0" t="0" r="635" b="4445"/>
                  <wp:docPr id="7" name="图片 7" descr="170117217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01172175685"/>
                          <pic:cNvPicPr>
                            <a:picLocks noChangeAspect="1"/>
                          </pic:cNvPicPr>
                        </pic:nvPicPr>
                        <pic:blipFill>
                          <a:blip r:embed="rId15"/>
                          <a:stretch>
                            <a:fillRect/>
                          </a:stretch>
                        </pic:blipFill>
                        <pic:spPr>
                          <a:xfrm>
                            <a:off x="0" y="0"/>
                            <a:ext cx="2266315" cy="1767205"/>
                          </a:xfrm>
                          <a:prstGeom prst="rect">
                            <a:avLst/>
                          </a:prstGeom>
                        </pic:spPr>
                      </pic:pic>
                    </a:graphicData>
                  </a:graphic>
                </wp:inline>
              </w:drawing>
            </w:r>
          </w:p>
        </w:tc>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ascii="宋体" w:hAnsi="宋体" w:eastAsia="宋体" w:cs="宋体"/>
                <w:color w:val="222222"/>
                <w:kern w:val="0"/>
                <w:sz w:val="24"/>
                <w:szCs w:val="24"/>
              </w:rPr>
              <w:drawing>
                <wp:inline distT="0" distB="0" distL="114300" distR="114300">
                  <wp:extent cx="2355850" cy="1769110"/>
                  <wp:effectExtent l="0" t="0" r="6350" b="2540"/>
                  <wp:docPr id="5" name="图片 5" descr="6c6eda2817cb7cf908e73b81fca4e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c6eda2817cb7cf908e73b81fca4e8b"/>
                          <pic:cNvPicPr>
                            <a:picLocks noChangeAspect="1"/>
                          </pic:cNvPicPr>
                        </pic:nvPicPr>
                        <pic:blipFill>
                          <a:blip r:embed="rId16"/>
                          <a:stretch>
                            <a:fillRect/>
                          </a:stretch>
                        </pic:blipFill>
                        <pic:spPr>
                          <a:xfrm>
                            <a:off x="0" y="0"/>
                            <a:ext cx="2355850" cy="176911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ascii="宋体" w:hAnsi="宋体" w:eastAsia="宋体" w:cs="宋体"/>
                <w:color w:val="222222"/>
                <w:kern w:val="0"/>
                <w:sz w:val="24"/>
                <w:szCs w:val="24"/>
              </w:rPr>
              <w:drawing>
                <wp:inline distT="0" distB="0" distL="114300" distR="114300">
                  <wp:extent cx="2258695" cy="1763395"/>
                  <wp:effectExtent l="0" t="0" r="8255" b="8255"/>
                  <wp:docPr id="6" name="图片 6" descr="c638211b10ee1e0d57760ddd720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638211b10ee1e0d57760ddd7208631"/>
                          <pic:cNvPicPr>
                            <a:picLocks noChangeAspect="1"/>
                          </pic:cNvPicPr>
                        </pic:nvPicPr>
                        <pic:blipFill>
                          <a:blip r:embed="rId17"/>
                          <a:stretch>
                            <a:fillRect/>
                          </a:stretch>
                        </pic:blipFill>
                        <pic:spPr>
                          <a:xfrm>
                            <a:off x="0" y="0"/>
                            <a:ext cx="2258695" cy="1763395"/>
                          </a:xfrm>
                          <a:prstGeom prst="rect">
                            <a:avLst/>
                          </a:prstGeom>
                        </pic:spPr>
                      </pic:pic>
                    </a:graphicData>
                  </a:graphic>
                </wp:inline>
              </w:drawing>
            </w:r>
          </w:p>
        </w:tc>
        <w:tc>
          <w:tcPr>
            <w:tcW w:w="4261" w:type="dxa"/>
            <w:vAlign w:val="center"/>
          </w:tcPr>
          <w:p>
            <w:pPr>
              <w:widowControl/>
              <w:spacing w:line="360" w:lineRule="auto"/>
              <w:jc w:val="center"/>
              <w:rPr>
                <w:rFonts w:hint="eastAsia" w:ascii="宋体" w:hAnsi="宋体" w:eastAsia="宋体" w:cs="宋体"/>
                <w:color w:val="222222"/>
                <w:kern w:val="0"/>
                <w:sz w:val="24"/>
                <w:szCs w:val="24"/>
                <w:vertAlign w:val="baseline"/>
              </w:rPr>
            </w:pPr>
            <w:r>
              <w:rPr>
                <w:rFonts w:ascii="宋体" w:hAnsi="宋体" w:eastAsia="宋体" w:cs="宋体"/>
                <w:color w:val="222222"/>
                <w:kern w:val="0"/>
                <w:sz w:val="24"/>
                <w:szCs w:val="24"/>
              </w:rPr>
              <w:drawing>
                <wp:inline distT="0" distB="0" distL="114300" distR="114300">
                  <wp:extent cx="2364740" cy="1762125"/>
                  <wp:effectExtent l="0" t="0" r="16510" b="9525"/>
                  <wp:docPr id="8" name="图片 8" descr="1701173569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01173569735"/>
                          <pic:cNvPicPr>
                            <a:picLocks noChangeAspect="1"/>
                          </pic:cNvPicPr>
                        </pic:nvPicPr>
                        <pic:blipFill>
                          <a:blip r:embed="rId18"/>
                          <a:stretch>
                            <a:fillRect/>
                          </a:stretch>
                        </pic:blipFill>
                        <pic:spPr>
                          <a:xfrm>
                            <a:off x="0" y="0"/>
                            <a:ext cx="2364740" cy="1762125"/>
                          </a:xfrm>
                          <a:prstGeom prst="rect">
                            <a:avLst/>
                          </a:prstGeom>
                        </pic:spPr>
                      </pic:pic>
                    </a:graphicData>
                  </a:graphic>
                </wp:inline>
              </w:drawing>
            </w:r>
          </w:p>
        </w:tc>
      </w:tr>
    </w:tbl>
    <w:p>
      <w:pPr>
        <w:pStyle w:val="2"/>
        <w:bidi w:val="0"/>
      </w:pPr>
      <w:bookmarkStart w:id="6" w:name="_Toc7201"/>
      <w:r>
        <w:rPr>
          <w:rFonts w:hint="eastAsia"/>
        </w:rPr>
        <w:t>五、助推企业发展情况</w:t>
      </w:r>
      <w:bookmarkEnd w:id="6"/>
    </w:p>
    <w:p>
      <w:pPr>
        <w:bidi w:val="0"/>
        <w:ind w:firstLine="420" w:firstLineChars="0"/>
        <w:rPr>
          <w:rFonts w:hint="eastAsia"/>
        </w:rPr>
      </w:pPr>
      <w:r>
        <w:rPr>
          <w:rFonts w:hint="eastAsia"/>
        </w:rPr>
        <w:t>双创中心的“跨境电商实践创新中心”与商贸学院的“跨境电商直播基地”，充分展示了创写文化在跨境电商直播方面的优异成绩，通过院方领导的多次推荐，获得了与许多优质企业的合作机会，形成了与合作方的优势互补，推动创写文化于电商行业更好更广的快速发展。</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c>
          <w:tcPr>
            <w:tcW w:w="4261" w:type="dxa"/>
            <w:vAlign w:val="top"/>
          </w:tcPr>
          <w:p>
            <w:pPr>
              <w:widowControl/>
              <w:spacing w:line="360" w:lineRule="auto"/>
              <w:jc w:val="center"/>
              <w:rPr>
                <w:rFonts w:hint="eastAsia" w:ascii="宋体" w:hAnsi="宋体" w:eastAsia="宋体" w:cs="宋体"/>
                <w:color w:val="222222"/>
                <w:kern w:val="0"/>
                <w:sz w:val="24"/>
                <w:szCs w:val="24"/>
                <w:vertAlign w:val="baseline"/>
              </w:rPr>
            </w:pPr>
            <w:r>
              <w:rPr>
                <w:rFonts w:hint="eastAsia" w:ascii="宋体" w:hAnsi="宋体" w:eastAsia="宋体" w:cs="宋体"/>
                <w:color w:val="222222"/>
                <w:kern w:val="0"/>
                <w:sz w:val="24"/>
                <w:szCs w:val="24"/>
              </w:rPr>
              <w:drawing>
                <wp:inline distT="0" distB="0" distL="114300" distR="114300">
                  <wp:extent cx="2263140" cy="1650365"/>
                  <wp:effectExtent l="0" t="0" r="3810" b="6985"/>
                  <wp:docPr id="10" name="图片 10" descr="dece6421489e2232098ea03d9e0b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ece6421489e2232098ea03d9e0b428"/>
                          <pic:cNvPicPr>
                            <a:picLocks noChangeAspect="1"/>
                          </pic:cNvPicPr>
                        </pic:nvPicPr>
                        <pic:blipFill>
                          <a:blip r:embed="rId19"/>
                          <a:stretch>
                            <a:fillRect/>
                          </a:stretch>
                        </pic:blipFill>
                        <pic:spPr>
                          <a:xfrm>
                            <a:off x="0" y="0"/>
                            <a:ext cx="2263140" cy="1650365"/>
                          </a:xfrm>
                          <a:prstGeom prst="rect">
                            <a:avLst/>
                          </a:prstGeom>
                        </pic:spPr>
                      </pic:pic>
                    </a:graphicData>
                  </a:graphic>
                </wp:inline>
              </w:drawing>
            </w:r>
          </w:p>
        </w:tc>
        <w:tc>
          <w:tcPr>
            <w:tcW w:w="4261" w:type="dxa"/>
            <w:vAlign w:val="top"/>
          </w:tcPr>
          <w:p>
            <w:pPr>
              <w:widowControl/>
              <w:spacing w:line="360" w:lineRule="auto"/>
              <w:jc w:val="center"/>
              <w:rPr>
                <w:rFonts w:hint="eastAsia" w:ascii="宋体" w:hAnsi="宋体" w:eastAsia="宋体" w:cs="宋体"/>
                <w:color w:val="222222"/>
                <w:kern w:val="0"/>
                <w:sz w:val="24"/>
                <w:szCs w:val="24"/>
                <w:vertAlign w:val="baseline"/>
              </w:rPr>
            </w:pPr>
            <w:r>
              <w:rPr>
                <w:rFonts w:ascii="宋体" w:hAnsi="宋体" w:eastAsia="宋体" w:cs="宋体"/>
                <w:color w:val="222222"/>
                <w:kern w:val="0"/>
                <w:sz w:val="24"/>
                <w:szCs w:val="24"/>
              </w:rPr>
              <w:drawing>
                <wp:inline distT="0" distB="0" distL="114300" distR="114300">
                  <wp:extent cx="2358390" cy="1653540"/>
                  <wp:effectExtent l="0" t="0" r="3810" b="3810"/>
                  <wp:docPr id="15" name="图片 15" descr="5b75787a5ecca1cb6e359e9fac90a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5b75787a5ecca1cb6e359e9fac90ab2"/>
                          <pic:cNvPicPr>
                            <a:picLocks noChangeAspect="1"/>
                          </pic:cNvPicPr>
                        </pic:nvPicPr>
                        <pic:blipFill>
                          <a:blip r:embed="rId20"/>
                          <a:stretch>
                            <a:fillRect/>
                          </a:stretch>
                        </pic:blipFill>
                        <pic:spPr>
                          <a:xfrm>
                            <a:off x="0" y="0"/>
                            <a:ext cx="2358390" cy="1653540"/>
                          </a:xfrm>
                          <a:prstGeom prst="rect">
                            <a:avLst/>
                          </a:prstGeom>
                        </pic:spPr>
                      </pic:pic>
                    </a:graphicData>
                  </a:graphic>
                </wp:inline>
              </w:drawing>
            </w:r>
          </w:p>
        </w:tc>
      </w:tr>
    </w:tbl>
    <w:p>
      <w:pPr>
        <w:pStyle w:val="2"/>
        <w:bidi w:val="0"/>
      </w:pPr>
      <w:bookmarkStart w:id="7" w:name="_Toc16985"/>
      <w:r>
        <w:rPr>
          <w:rFonts w:hint="eastAsia"/>
        </w:rPr>
        <w:t>六、服务地方</w:t>
      </w:r>
      <w:bookmarkEnd w:id="7"/>
    </w:p>
    <w:p>
      <w:pPr>
        <w:bidi w:val="0"/>
        <w:ind w:firstLine="420" w:firstLineChars="0"/>
      </w:pPr>
      <w:r>
        <w:rPr>
          <w:rFonts w:hint="eastAsia"/>
        </w:rPr>
        <w:t>1、将通过教师跟岗实践、校企教师结对、项目导引等活动和措施，加强对商贸学院骨干教师和年轻教师实践能力培养，打造跨境电商领域内的“双师”。</w:t>
      </w:r>
    </w:p>
    <w:p>
      <w:pPr>
        <w:bidi w:val="0"/>
        <w:ind w:firstLine="420" w:firstLineChars="0"/>
      </w:pPr>
      <w:r>
        <w:rPr>
          <w:rFonts w:hint="eastAsia"/>
        </w:rPr>
        <w:t>2、通过双方共建的跨境电商实践创新中心，每年为乙方商贸学院培养5名跨境电商专业“双师”。“双师”培养的主要模式为，商贸学院专任教师全程参与甲方技术团队的日常教学培训、实际项目开发与研讨、组建师生团队进行实际项目运营、与企业教师共同开发实训课程、讲义、教材及在线课程等。</w:t>
      </w:r>
    </w:p>
    <w:p>
      <w:pPr>
        <w:pStyle w:val="2"/>
        <w:bidi w:val="0"/>
      </w:pPr>
      <w:bookmarkStart w:id="8" w:name="_Toc17591"/>
      <w:r>
        <w:rPr>
          <w:rFonts w:hint="eastAsia"/>
        </w:rPr>
        <w:t>七、保障体系</w:t>
      </w:r>
      <w:bookmarkEnd w:id="8"/>
    </w:p>
    <w:p>
      <w:pPr>
        <w:bidi w:val="0"/>
        <w:ind w:firstLine="420" w:firstLineChars="0"/>
        <w:rPr>
          <w:rFonts w:hint="eastAsia"/>
        </w:rPr>
      </w:pPr>
      <w:r>
        <w:rPr>
          <w:rFonts w:hint="eastAsia"/>
        </w:rPr>
        <w:t>连云港创写文化传媒有限公司与我校签署战略合作协议，明确合作愿景及双方职责，合作期间：</w:t>
      </w:r>
    </w:p>
    <w:p>
      <w:pPr>
        <w:bidi w:val="0"/>
        <w:ind w:firstLine="420" w:firstLineChars="0"/>
        <w:rPr>
          <w:rFonts w:hint="eastAsia"/>
        </w:rPr>
      </w:pPr>
      <w:r>
        <w:rPr>
          <w:rFonts w:hint="eastAsia"/>
        </w:rPr>
        <w:t>1、双方组建混编教师团队共同开发校企合作实训课程6门。</w:t>
      </w:r>
    </w:p>
    <w:p>
      <w:pPr>
        <w:bidi w:val="0"/>
        <w:ind w:firstLine="420" w:firstLineChars="0"/>
        <w:rPr>
          <w:rFonts w:hint="eastAsia"/>
        </w:rPr>
      </w:pPr>
      <w:r>
        <w:rPr>
          <w:rFonts w:hint="eastAsia"/>
        </w:rPr>
        <w:t>2、组建校企“双师”团队10-15人，其中甲方派遣5人技术团队，乙方商贸学院成立10人左右专业团队，双方加强教学改革与创新，在商贸学院精英班中实施现代学徒制的改革与实践。每年实施现代学徒制的学生为20人。</w:t>
      </w:r>
    </w:p>
    <w:p>
      <w:pPr>
        <w:bidi w:val="0"/>
        <w:ind w:firstLine="420" w:firstLineChars="0"/>
        <w:rPr>
          <w:rFonts w:hint="eastAsia"/>
        </w:rPr>
      </w:pPr>
      <w:r>
        <w:rPr>
          <w:rFonts w:hint="eastAsia"/>
        </w:rPr>
        <w:t>3、创写文化每年承担乙方400-500人次的学生跨境电商综合实训课程，总学时不少于300学时，覆盖商贸学院国际贸易专业、跨境电商专业和电子商务专业等，实训课程包括跨境电商主要平台实训、跨境电商选品、跨境电商网络营销以及跨境电商直播等。</w:t>
      </w:r>
    </w:p>
    <w:p>
      <w:pPr>
        <w:pStyle w:val="2"/>
        <w:bidi w:val="0"/>
      </w:pPr>
      <w:bookmarkStart w:id="9" w:name="_Toc17658"/>
      <w:r>
        <w:rPr>
          <w:rFonts w:hint="eastAsia"/>
        </w:rPr>
        <w:t>八、问题与展望</w:t>
      </w:r>
      <w:bookmarkEnd w:id="9"/>
    </w:p>
    <w:p>
      <w:pPr>
        <w:bidi w:val="0"/>
        <w:ind w:firstLine="420" w:firstLineChars="0"/>
      </w:pPr>
      <w:r>
        <w:rPr>
          <w:rFonts w:hint="eastAsia"/>
        </w:rPr>
        <w:t>1、每年实现200人次创业实践培训;</w:t>
      </w:r>
    </w:p>
    <w:p>
      <w:pPr>
        <w:bidi w:val="0"/>
        <w:ind w:firstLine="420" w:firstLineChars="0"/>
      </w:pPr>
      <w:r>
        <w:rPr>
          <w:rFonts w:hint="eastAsia"/>
        </w:rPr>
        <w:t>2、打造6个双创精英团队，每个精英团队5-8人，培养卓越的职业本科人才；</w:t>
      </w:r>
    </w:p>
    <w:p>
      <w:pPr>
        <w:bidi w:val="0"/>
        <w:ind w:firstLine="420" w:firstLineChars="0"/>
      </w:pPr>
      <w:r>
        <w:rPr>
          <w:rFonts w:hint="eastAsia"/>
        </w:rPr>
        <w:t>3、年孵化创业企业3家；</w:t>
      </w:r>
    </w:p>
    <w:p>
      <w:pPr>
        <w:spacing w:line="520" w:lineRule="exact"/>
        <w:ind w:firstLine="480" w:firstLineChars="200"/>
        <w:rPr>
          <w:sz w:val="24"/>
          <w:szCs w:val="24"/>
        </w:rPr>
      </w:pPr>
    </w:p>
    <w:sectPr>
      <w:footerReference r:id="rId5" w:type="default"/>
      <w:pgSz w:w="11906" w:h="16838"/>
      <w:pgMar w:top="1440" w:right="1800" w:bottom="1440" w:left="1800"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w:pict>
        <v:shape id="_x0000_s2049"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6"/>
                </w:pPr>
                <w:r>
                  <w:fldChar w:fldCharType="begin"/>
                </w:r>
                <w:r>
                  <w:instrText xml:space="preserve"> PAGE  \* MERGEFORMAT </w:instrText>
                </w:r>
                <w:r>
                  <w:fldChar w:fldCharType="separate"/>
                </w:r>
                <w:r>
                  <w:t>3</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5378B7"/>
    <w:multiLevelType w:val="singleLevel"/>
    <w:tmpl w:val="8B5378B7"/>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2Q0NzI5OGExYTVlMTM4MjdiYTM0NzM3NDNhOGQ3YzUifQ=="/>
  </w:docVars>
  <w:rsids>
    <w:rsidRoot w:val="009E2E4F"/>
    <w:rsid w:val="000527C7"/>
    <w:rsid w:val="0006216C"/>
    <w:rsid w:val="000638B3"/>
    <w:rsid w:val="00092AD4"/>
    <w:rsid w:val="000B42AF"/>
    <w:rsid w:val="0018002E"/>
    <w:rsid w:val="0019549C"/>
    <w:rsid w:val="0023444A"/>
    <w:rsid w:val="00257441"/>
    <w:rsid w:val="0026594A"/>
    <w:rsid w:val="00272904"/>
    <w:rsid w:val="00285B0A"/>
    <w:rsid w:val="002B08EE"/>
    <w:rsid w:val="002B6288"/>
    <w:rsid w:val="002B6A46"/>
    <w:rsid w:val="00314E40"/>
    <w:rsid w:val="0033537D"/>
    <w:rsid w:val="003621D3"/>
    <w:rsid w:val="003708A1"/>
    <w:rsid w:val="003876E0"/>
    <w:rsid w:val="00390B4F"/>
    <w:rsid w:val="003A700F"/>
    <w:rsid w:val="003D138E"/>
    <w:rsid w:val="0044519B"/>
    <w:rsid w:val="00473222"/>
    <w:rsid w:val="00480ACB"/>
    <w:rsid w:val="00491CC9"/>
    <w:rsid w:val="00503083"/>
    <w:rsid w:val="0050611A"/>
    <w:rsid w:val="005113A0"/>
    <w:rsid w:val="0053698A"/>
    <w:rsid w:val="005715E1"/>
    <w:rsid w:val="00592228"/>
    <w:rsid w:val="005926DE"/>
    <w:rsid w:val="005C3EBF"/>
    <w:rsid w:val="00627288"/>
    <w:rsid w:val="0064611E"/>
    <w:rsid w:val="00655BC8"/>
    <w:rsid w:val="006976A6"/>
    <w:rsid w:val="006D1A65"/>
    <w:rsid w:val="006D586D"/>
    <w:rsid w:val="00740331"/>
    <w:rsid w:val="00761FE9"/>
    <w:rsid w:val="0079625E"/>
    <w:rsid w:val="00852C78"/>
    <w:rsid w:val="0086190B"/>
    <w:rsid w:val="0088246E"/>
    <w:rsid w:val="008B08CE"/>
    <w:rsid w:val="008C7A2D"/>
    <w:rsid w:val="00942943"/>
    <w:rsid w:val="00951034"/>
    <w:rsid w:val="00952A51"/>
    <w:rsid w:val="009973BE"/>
    <w:rsid w:val="009B4383"/>
    <w:rsid w:val="009E2E4F"/>
    <w:rsid w:val="00A06940"/>
    <w:rsid w:val="00AB09A0"/>
    <w:rsid w:val="00AC34A5"/>
    <w:rsid w:val="00AD5841"/>
    <w:rsid w:val="00B16995"/>
    <w:rsid w:val="00B35B74"/>
    <w:rsid w:val="00B35BA6"/>
    <w:rsid w:val="00BC2729"/>
    <w:rsid w:val="00BD7CC4"/>
    <w:rsid w:val="00C31CF2"/>
    <w:rsid w:val="00C60F32"/>
    <w:rsid w:val="00C94713"/>
    <w:rsid w:val="00D10003"/>
    <w:rsid w:val="00D464D7"/>
    <w:rsid w:val="00DF7C53"/>
    <w:rsid w:val="00E24649"/>
    <w:rsid w:val="00E35015"/>
    <w:rsid w:val="00E55664"/>
    <w:rsid w:val="00E556EA"/>
    <w:rsid w:val="00E64BCE"/>
    <w:rsid w:val="00E65BF0"/>
    <w:rsid w:val="00E73C5A"/>
    <w:rsid w:val="00EA08CC"/>
    <w:rsid w:val="00EA1BED"/>
    <w:rsid w:val="00EE53A0"/>
    <w:rsid w:val="00EF4B79"/>
    <w:rsid w:val="00F003B5"/>
    <w:rsid w:val="00F57606"/>
    <w:rsid w:val="00F83811"/>
    <w:rsid w:val="00FA0294"/>
    <w:rsid w:val="00FF2320"/>
    <w:rsid w:val="04995AF7"/>
    <w:rsid w:val="04B648C9"/>
    <w:rsid w:val="26BB6612"/>
    <w:rsid w:val="2D095E32"/>
    <w:rsid w:val="36FA041B"/>
    <w:rsid w:val="38F37819"/>
    <w:rsid w:val="4E543AF1"/>
    <w:rsid w:val="4E9C3027"/>
    <w:rsid w:val="5AE01EF6"/>
    <w:rsid w:val="77E75F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after="160" w:line="360" w:lineRule="auto"/>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19"/>
    <w:autoRedefine/>
    <w:qFormat/>
    <w:uiPriority w:val="9"/>
    <w:pPr>
      <w:keepNext/>
      <w:keepLines/>
      <w:spacing w:before="120" w:after="120" w:line="360" w:lineRule="auto"/>
      <w:outlineLvl w:val="0"/>
    </w:pPr>
    <w:rPr>
      <w:rFonts w:eastAsia="宋体" w:asciiTheme="minorAscii" w:hAnsiTheme="minorAscii"/>
      <w:b/>
      <w:bCs/>
      <w:kern w:val="44"/>
      <w:sz w:val="28"/>
      <w:szCs w:val="44"/>
    </w:rPr>
  </w:style>
  <w:style w:type="paragraph" w:styleId="3">
    <w:name w:val="heading 2"/>
    <w:basedOn w:val="1"/>
    <w:next w:val="1"/>
    <w:unhideWhenUsed/>
    <w:qFormat/>
    <w:uiPriority w:val="9"/>
    <w:pPr>
      <w:keepNext/>
      <w:keepLines/>
      <w:spacing w:beforeLines="0" w:beforeAutospacing="0" w:afterLines="0" w:afterAutospacing="0" w:line="413" w:lineRule="auto"/>
      <w:outlineLvl w:val="1"/>
    </w:pPr>
    <w:rPr>
      <w:rFonts w:ascii="Arial" w:hAnsi="Arial" w:eastAsia="宋体"/>
      <w:b/>
      <w:sz w:val="24"/>
    </w:rPr>
  </w:style>
  <w:style w:type="character" w:default="1" w:styleId="12">
    <w:name w:val="Default Paragraph Font"/>
    <w:autoRedefine/>
    <w:semiHidden/>
    <w:unhideWhenUsed/>
    <w:qFormat/>
    <w:uiPriority w:val="1"/>
  </w:style>
  <w:style w:type="table" w:default="1" w:styleId="10">
    <w:name w:val="Normal Table"/>
    <w:autoRedefine/>
    <w:semiHidden/>
    <w:unhideWhenUsed/>
    <w:qFormat/>
    <w:uiPriority w:val="99"/>
    <w:tblPr>
      <w:tblCellMar>
        <w:top w:w="0" w:type="dxa"/>
        <w:left w:w="108" w:type="dxa"/>
        <w:bottom w:w="0" w:type="dxa"/>
        <w:right w:w="108" w:type="dxa"/>
      </w:tblCellMar>
    </w:tblPr>
  </w:style>
  <w:style w:type="paragraph" w:styleId="4">
    <w:name w:val="toc 3"/>
    <w:basedOn w:val="1"/>
    <w:next w:val="1"/>
    <w:autoRedefine/>
    <w:unhideWhenUsed/>
    <w:qFormat/>
    <w:uiPriority w:val="39"/>
    <w:pPr>
      <w:widowControl/>
      <w:spacing w:after="100"/>
      <w:ind w:left="440"/>
      <w:jc w:val="left"/>
    </w:pPr>
    <w:rPr>
      <w:rFonts w:cs="Times New Roman"/>
      <w:kern w:val="0"/>
      <w:sz w:val="22"/>
    </w:rPr>
  </w:style>
  <w:style w:type="paragraph" w:styleId="5">
    <w:name w:val="Balloon Text"/>
    <w:basedOn w:val="1"/>
    <w:link w:val="15"/>
    <w:autoRedefine/>
    <w:semiHidden/>
    <w:unhideWhenUsed/>
    <w:qFormat/>
    <w:uiPriority w:val="99"/>
    <w:pPr>
      <w:spacing w:after="0" w:line="240" w:lineRule="auto"/>
    </w:pPr>
    <w:rPr>
      <w:rFonts w:ascii="Segoe UI" w:hAnsi="Segoe UI" w:cs="Segoe UI"/>
      <w:sz w:val="18"/>
      <w:szCs w:val="18"/>
    </w:rPr>
  </w:style>
  <w:style w:type="paragraph" w:styleId="6">
    <w:name w:val="footer"/>
    <w:basedOn w:val="1"/>
    <w:link w:val="14"/>
    <w:unhideWhenUsed/>
    <w:qFormat/>
    <w:uiPriority w:val="99"/>
    <w:pPr>
      <w:tabs>
        <w:tab w:val="center" w:pos="4153"/>
        <w:tab w:val="right" w:pos="8306"/>
      </w:tabs>
      <w:snapToGrid w:val="0"/>
      <w:jc w:val="left"/>
    </w:pPr>
    <w:rPr>
      <w:sz w:val="18"/>
      <w:szCs w:val="18"/>
    </w:rPr>
  </w:style>
  <w:style w:type="paragraph" w:styleId="7">
    <w:name w:val="header"/>
    <w:basedOn w:val="1"/>
    <w:link w:val="13"/>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autoRedefine/>
    <w:unhideWhenUsed/>
    <w:qFormat/>
    <w:uiPriority w:val="39"/>
    <w:pPr>
      <w:widowControl/>
      <w:spacing w:after="100"/>
      <w:jc w:val="left"/>
    </w:pPr>
    <w:rPr>
      <w:rFonts w:cs="Times New Roman"/>
      <w:kern w:val="0"/>
      <w:sz w:val="22"/>
    </w:rPr>
  </w:style>
  <w:style w:type="paragraph" w:styleId="9">
    <w:name w:val="toc 2"/>
    <w:basedOn w:val="1"/>
    <w:next w:val="1"/>
    <w:autoRedefine/>
    <w:unhideWhenUsed/>
    <w:qFormat/>
    <w:uiPriority w:val="39"/>
    <w:pPr>
      <w:widowControl/>
      <w:spacing w:after="100"/>
      <w:ind w:left="220"/>
      <w:jc w:val="left"/>
    </w:pPr>
    <w:rPr>
      <w:rFonts w:cs="Times New Roman"/>
      <w:kern w:val="0"/>
      <w:sz w:val="22"/>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页眉 字符"/>
    <w:basedOn w:val="12"/>
    <w:link w:val="7"/>
    <w:autoRedefine/>
    <w:qFormat/>
    <w:uiPriority w:val="99"/>
    <w:rPr>
      <w:sz w:val="18"/>
      <w:szCs w:val="18"/>
    </w:rPr>
  </w:style>
  <w:style w:type="character" w:customStyle="1" w:styleId="14">
    <w:name w:val="页脚 字符"/>
    <w:basedOn w:val="12"/>
    <w:link w:val="6"/>
    <w:autoRedefine/>
    <w:qFormat/>
    <w:uiPriority w:val="99"/>
    <w:rPr>
      <w:sz w:val="18"/>
      <w:szCs w:val="18"/>
    </w:rPr>
  </w:style>
  <w:style w:type="character" w:customStyle="1" w:styleId="15">
    <w:name w:val="批注框文本 字符"/>
    <w:basedOn w:val="12"/>
    <w:link w:val="5"/>
    <w:autoRedefine/>
    <w:semiHidden/>
    <w:qFormat/>
    <w:uiPriority w:val="99"/>
    <w:rPr>
      <w:rFonts w:ascii="Segoe UI" w:hAnsi="Segoe UI" w:cs="Segoe UI"/>
      <w:kern w:val="2"/>
      <w:sz w:val="18"/>
      <w:szCs w:val="18"/>
    </w:rPr>
  </w:style>
  <w:style w:type="character" w:customStyle="1" w:styleId="16">
    <w:name w:val="Body Char1"/>
    <w:link w:val="17"/>
    <w:autoRedefine/>
    <w:qFormat/>
    <w:uiPriority w:val="0"/>
    <w:rPr>
      <w:rFonts w:ascii="Arial" w:hAnsi="Arial"/>
      <w:sz w:val="22"/>
      <w:lang w:eastAsia="en-US"/>
    </w:rPr>
  </w:style>
  <w:style w:type="paragraph" w:customStyle="1" w:styleId="17">
    <w:name w:val="Body"/>
    <w:link w:val="16"/>
    <w:autoRedefine/>
    <w:qFormat/>
    <w:uiPriority w:val="0"/>
    <w:pPr>
      <w:spacing w:after="120"/>
      <w:ind w:left="1418"/>
    </w:pPr>
    <w:rPr>
      <w:rFonts w:ascii="Arial" w:hAnsi="Arial" w:eastAsiaTheme="minorEastAsia" w:cstheme="minorBidi"/>
      <w:sz w:val="22"/>
      <w:lang w:val="en-US" w:eastAsia="en-US" w:bidi="ar-SA"/>
    </w:rPr>
  </w:style>
  <w:style w:type="paragraph" w:customStyle="1" w:styleId="18">
    <w:name w:val="List Paragraph1"/>
    <w:basedOn w:val="1"/>
    <w:autoRedefine/>
    <w:qFormat/>
    <w:uiPriority w:val="34"/>
    <w:pPr>
      <w:ind w:firstLine="420" w:firstLineChars="200"/>
    </w:pPr>
    <w:rPr>
      <w:rFonts w:ascii="Times New Roman" w:hAnsi="Times New Roman" w:eastAsia="宋体" w:cs="Times New Roman"/>
      <w:szCs w:val="24"/>
    </w:rPr>
  </w:style>
  <w:style w:type="character" w:customStyle="1" w:styleId="19">
    <w:name w:val="标题 1 字符"/>
    <w:basedOn w:val="12"/>
    <w:link w:val="2"/>
    <w:autoRedefine/>
    <w:qFormat/>
    <w:uiPriority w:val="9"/>
    <w:rPr>
      <w:rFonts w:eastAsia="宋体" w:asciiTheme="minorAscii" w:hAnsiTheme="minorAscii"/>
      <w:b/>
      <w:bCs/>
      <w:kern w:val="44"/>
      <w:sz w:val="28"/>
      <w:szCs w:val="44"/>
    </w:rPr>
  </w:style>
  <w:style w:type="paragraph" w:customStyle="1" w:styleId="20">
    <w:name w:val="TOC 标题1"/>
    <w:basedOn w:val="2"/>
    <w:next w:val="1"/>
    <w:autoRedefine/>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496" w:themeColor="accent1" w:themeShade="BF"/>
      <w:kern w:val="0"/>
      <w:sz w:val="32"/>
      <w:szCs w:val="32"/>
    </w:rPr>
  </w:style>
  <w:style w:type="paragraph" w:customStyle="1" w:styleId="21">
    <w:name w:val="标题1"/>
    <w:basedOn w:val="1"/>
    <w:link w:val="22"/>
    <w:autoRedefine/>
    <w:qFormat/>
    <w:uiPriority w:val="0"/>
    <w:pPr>
      <w:widowControl/>
      <w:spacing w:before="600" w:beforeLines="600" w:after="120" w:line="360" w:lineRule="auto"/>
      <w:jc w:val="both"/>
    </w:pPr>
    <w:rPr>
      <w:rFonts w:ascii="宋体" w:hAnsi="宋体" w:eastAsia="宋体" w:cs="宋体"/>
      <w:b/>
      <w:bCs/>
      <w:color w:val="222222"/>
      <w:kern w:val="0"/>
      <w:sz w:val="28"/>
      <w:szCs w:val="24"/>
    </w:rPr>
  </w:style>
  <w:style w:type="character" w:customStyle="1" w:styleId="22">
    <w:name w:val="标题1 字符"/>
    <w:basedOn w:val="12"/>
    <w:link w:val="21"/>
    <w:autoRedefine/>
    <w:qFormat/>
    <w:uiPriority w:val="0"/>
    <w:rPr>
      <w:rFonts w:ascii="宋体" w:hAnsi="宋体" w:eastAsia="宋体" w:cs="宋体"/>
      <w:b/>
      <w:bCs/>
      <w:color w:val="222222"/>
      <w:sz w:val="28"/>
      <w:szCs w:val="24"/>
    </w:rPr>
  </w:style>
  <w:style w:type="paragraph" w:customStyle="1" w:styleId="23">
    <w:name w:val="WPSOffice手动目录 1"/>
    <w:autoRedefine/>
    <w:qFormat/>
    <w:uiPriority w:val="0"/>
    <w:pPr>
      <w:ind w:leftChars="0"/>
    </w:pPr>
    <w:rPr>
      <w:rFonts w:asciiTheme="minorHAnsi" w:hAnsiTheme="minorHAnsi" w:eastAsiaTheme="minorEastAsia" w:cstheme="minorBidi"/>
      <w:sz w:val="20"/>
      <w:szCs w:val="20"/>
    </w:rPr>
  </w:style>
  <w:style w:type="paragraph" w:customStyle="1" w:styleId="24">
    <w:name w:val="WPSOffice手动目录 2"/>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D4B012-8870-480E-9EE5-9972DBAB71F2}">
  <ds:schemaRefs/>
</ds:datastoreItem>
</file>

<file path=docProps/app.xml><?xml version="1.0" encoding="utf-8"?>
<Properties xmlns="http://schemas.openxmlformats.org/officeDocument/2006/extended-properties" xmlns:vt="http://schemas.openxmlformats.org/officeDocument/2006/docPropsVTypes">
  <Template>Normal</Template>
  <Pages>7</Pages>
  <Words>275</Words>
  <Characters>1568</Characters>
  <Lines>13</Lines>
  <Paragraphs>3</Paragraphs>
  <TotalTime>1</TotalTime>
  <ScaleCrop>false</ScaleCrop>
  <LinksUpToDate>false</LinksUpToDate>
  <CharactersWithSpaces>1840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2019-11-21T21:54:00Z</dcterms:created>
  <dc:creator>qiao luo</dc:creator>
  <cp:lastModifiedBy>光明</cp:lastModifiedBy>
  <cp:lastPrinted>2024-01-04T08:05:00Z</cp:lastPrinted>
  <dcterms:modified xsi:type="dcterms:W3CDTF">2024-01-13T06:55:29Z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767D36BAED394C369D94447082CBC669_12</vt:lpwstr>
  </property>
</Properties>
</file>