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5" w:lineRule="auto"/>
        <w:rPr>
          <w:rFonts w:ascii="宋体" w:hAnsi="宋体" w:eastAsia="宋体" w:cs="宋体"/>
          <w:sz w:val="31"/>
          <w:szCs w:val="31"/>
          <w:lang w:eastAsia="zh-CN"/>
        </w:rPr>
        <w:sectPr>
          <w:pgSz w:w="11907" w:h="16839"/>
          <w:pgMar w:top="1431" w:right="1785" w:bottom="0" w:left="1785" w:header="0" w:footer="0" w:gutter="0"/>
          <w:cols w:space="720" w:num="1"/>
        </w:sectPr>
      </w:pPr>
      <w:r>
        <w:rPr>
          <w:rFonts w:ascii="宋体" w:hAnsi="宋体" w:eastAsia="宋体" w:cs="宋体"/>
          <w:sz w:val="31"/>
          <w:szCs w:val="31"/>
          <w:lang w:eastAsia="zh-CN"/>
        </w:rPr>
        <w:drawing>
          <wp:inline distT="0" distB="0" distL="0" distR="0">
            <wp:extent cx="5902960" cy="8550275"/>
            <wp:effectExtent l="0" t="0" r="2540" b="3175"/>
            <wp:docPr id="2134784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784202"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907815" cy="8557785"/>
                    </a:xfrm>
                    <a:prstGeom prst="rect">
                      <a:avLst/>
                    </a:prstGeom>
                    <a:noFill/>
                    <a:ln>
                      <a:noFill/>
                    </a:ln>
                  </pic:spPr>
                </pic:pic>
              </a:graphicData>
            </a:graphic>
          </wp:inline>
        </w:drawing>
      </w:r>
    </w:p>
    <w:sdt>
      <w:sdtPr>
        <w:rPr>
          <w:rFonts w:ascii="宋体" w:hAnsi="宋体" w:eastAsia="宋体" w:cs="Arial"/>
          <w:snapToGrid w:val="0"/>
          <w:color w:val="000000"/>
          <w:sz w:val="21"/>
          <w:szCs w:val="21"/>
          <w:lang w:val="en-US" w:eastAsia="en-US" w:bidi="ar-SA"/>
        </w:rPr>
        <w:id w:val="147480459"/>
        <w15:color w:val="DBDBDB"/>
        <w:docPartObj>
          <w:docPartGallery w:val="Table of Contents"/>
          <w:docPartUnique/>
        </w:docPartObj>
      </w:sdtPr>
      <w:sdtEndPr>
        <w:rPr>
          <w:rFonts w:ascii="等线" w:hAnsi="等线" w:eastAsia="等线" w:cs="等线"/>
          <w:b/>
          <w:snapToGrid w:val="0"/>
          <w:color w:val="000000"/>
          <w:sz w:val="24"/>
          <w:szCs w:val="21"/>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sz w:val="28"/>
              <w:szCs w:val="28"/>
            </w:rPr>
          </w:pPr>
          <w:r>
            <w:rPr>
              <w:rFonts w:ascii="宋体" w:hAnsi="宋体" w:eastAsia="宋体"/>
              <w:sz w:val="28"/>
              <w:szCs w:val="28"/>
            </w:rPr>
            <w:t>目录</w:t>
          </w:r>
        </w:p>
        <w:p>
          <w:pPr>
            <w:spacing w:before="0" w:beforeLines="0" w:after="0" w:afterLines="0" w:line="240" w:lineRule="auto"/>
            <w:ind w:left="0" w:leftChars="0" w:right="0" w:rightChars="0" w:firstLine="0" w:firstLineChars="0"/>
            <w:jc w:val="center"/>
            <w:rPr>
              <w:rFonts w:ascii="宋体" w:hAnsi="宋体" w:eastAsia="宋体"/>
              <w:sz w:val="28"/>
              <w:szCs w:val="28"/>
            </w:rPr>
          </w:pPr>
        </w:p>
        <w:p>
          <w:pPr>
            <w:pStyle w:val="7"/>
            <w:tabs>
              <w:tab w:val="right" w:leader="dot" w:pos="8337"/>
            </w:tabs>
          </w:pPr>
          <w:r>
            <w:rPr>
              <w:rFonts w:ascii="等线" w:hAnsi="等线" w:eastAsia="等线" w:cs="等线"/>
              <w:sz w:val="24"/>
              <w:szCs w:val="24"/>
              <w:lang w:eastAsia="zh-CN"/>
            </w:rPr>
            <w:fldChar w:fldCharType="begin"/>
          </w:r>
          <w:r>
            <w:rPr>
              <w:rFonts w:ascii="等线" w:hAnsi="等线" w:eastAsia="等线" w:cs="等线"/>
              <w:sz w:val="24"/>
              <w:szCs w:val="24"/>
              <w:lang w:eastAsia="zh-CN"/>
            </w:rPr>
            <w:instrText xml:space="preserve">TOC \o "1-2" \h \u </w:instrText>
          </w:r>
          <w:r>
            <w:rPr>
              <w:rFonts w:ascii="等线" w:hAnsi="等线" w:eastAsia="等线" w:cs="等线"/>
              <w:sz w:val="24"/>
              <w:szCs w:val="24"/>
              <w:lang w:eastAsia="zh-CN"/>
            </w:rPr>
            <w:fldChar w:fldCharType="separate"/>
          </w:r>
          <w:r>
            <w:rPr>
              <w:rFonts w:ascii="等线" w:hAnsi="等线" w:eastAsia="等线" w:cs="等线"/>
              <w:szCs w:val="24"/>
              <w:lang w:eastAsia="zh-CN"/>
            </w:rPr>
            <w:fldChar w:fldCharType="begin"/>
          </w:r>
          <w:r>
            <w:rPr>
              <w:rFonts w:ascii="等线" w:hAnsi="等线" w:eastAsia="等线" w:cs="等线"/>
              <w:szCs w:val="24"/>
              <w:lang w:eastAsia="zh-CN"/>
            </w:rPr>
            <w:instrText xml:space="preserve"> HYPERLINK \l _Toc21392 </w:instrText>
          </w:r>
          <w:r>
            <w:rPr>
              <w:rFonts w:ascii="等线" w:hAnsi="等线" w:eastAsia="等线" w:cs="等线"/>
              <w:szCs w:val="24"/>
              <w:lang w:eastAsia="zh-CN"/>
            </w:rPr>
            <w:fldChar w:fldCharType="separate"/>
          </w:r>
          <w:r>
            <w:rPr>
              <w:lang w:eastAsia="zh-CN"/>
            </w:rPr>
            <w:t>一、概况</w:t>
          </w:r>
          <w:r>
            <w:tab/>
          </w:r>
          <w:r>
            <w:fldChar w:fldCharType="begin"/>
          </w:r>
          <w:r>
            <w:instrText xml:space="preserve"> PAGEREF _Toc21392 \h </w:instrText>
          </w:r>
          <w:r>
            <w:fldChar w:fldCharType="separate"/>
          </w:r>
          <w:r>
            <w:t>1</w:t>
          </w:r>
          <w:r>
            <w:fldChar w:fldCharType="end"/>
          </w:r>
          <w:r>
            <w:rPr>
              <w:rFonts w:ascii="等线" w:hAnsi="等线" w:eastAsia="等线" w:cs="等线"/>
              <w:szCs w:val="24"/>
              <w:lang w:eastAsia="zh-CN"/>
            </w:rPr>
            <w:fldChar w:fldCharType="end"/>
          </w:r>
        </w:p>
        <w:p>
          <w:pPr>
            <w:pStyle w:val="7"/>
            <w:tabs>
              <w:tab w:val="right" w:leader="dot" w:pos="8337"/>
            </w:tabs>
          </w:pPr>
          <w:r>
            <w:rPr>
              <w:rFonts w:ascii="等线" w:hAnsi="等线" w:eastAsia="等线" w:cs="等线"/>
              <w:szCs w:val="24"/>
              <w:lang w:eastAsia="zh-CN"/>
            </w:rPr>
            <w:fldChar w:fldCharType="begin"/>
          </w:r>
          <w:r>
            <w:rPr>
              <w:rFonts w:ascii="等线" w:hAnsi="等线" w:eastAsia="等线" w:cs="等线"/>
              <w:szCs w:val="24"/>
              <w:lang w:eastAsia="zh-CN"/>
            </w:rPr>
            <w:instrText xml:space="preserve"> HYPERLINK \l _Toc19549 </w:instrText>
          </w:r>
          <w:r>
            <w:rPr>
              <w:rFonts w:ascii="等线" w:hAnsi="等线" w:eastAsia="等线" w:cs="等线"/>
              <w:szCs w:val="24"/>
              <w:lang w:eastAsia="zh-CN"/>
            </w:rPr>
            <w:fldChar w:fldCharType="separate"/>
          </w:r>
          <w:r>
            <w:rPr>
              <w:lang w:eastAsia="zh-CN"/>
            </w:rPr>
            <w:t>二、参与办学情况</w:t>
          </w:r>
          <w:r>
            <w:tab/>
          </w:r>
          <w:r>
            <w:fldChar w:fldCharType="begin"/>
          </w:r>
          <w:r>
            <w:instrText xml:space="preserve"> PAGEREF _Toc19549 \h </w:instrText>
          </w:r>
          <w:r>
            <w:fldChar w:fldCharType="separate"/>
          </w:r>
          <w:r>
            <w:t>2</w:t>
          </w:r>
          <w:r>
            <w:fldChar w:fldCharType="end"/>
          </w:r>
          <w:r>
            <w:rPr>
              <w:rFonts w:ascii="等线" w:hAnsi="等线" w:eastAsia="等线" w:cs="等线"/>
              <w:szCs w:val="24"/>
              <w:lang w:eastAsia="zh-CN"/>
            </w:rPr>
            <w:fldChar w:fldCharType="end"/>
          </w:r>
        </w:p>
        <w:p>
          <w:pPr>
            <w:pStyle w:val="7"/>
            <w:tabs>
              <w:tab w:val="right" w:leader="dot" w:pos="8337"/>
            </w:tabs>
          </w:pPr>
          <w:r>
            <w:rPr>
              <w:rFonts w:ascii="等线" w:hAnsi="等线" w:eastAsia="等线" w:cs="等线"/>
              <w:szCs w:val="24"/>
              <w:lang w:eastAsia="zh-CN"/>
            </w:rPr>
            <w:fldChar w:fldCharType="begin"/>
          </w:r>
          <w:r>
            <w:rPr>
              <w:rFonts w:ascii="等线" w:hAnsi="等线" w:eastAsia="等线" w:cs="等线"/>
              <w:szCs w:val="24"/>
              <w:lang w:eastAsia="zh-CN"/>
            </w:rPr>
            <w:instrText xml:space="preserve"> HYPERLINK \l _Toc18591 </w:instrText>
          </w:r>
          <w:r>
            <w:rPr>
              <w:rFonts w:ascii="等线" w:hAnsi="等线" w:eastAsia="等线" w:cs="等线"/>
              <w:szCs w:val="24"/>
              <w:lang w:eastAsia="zh-CN"/>
            </w:rPr>
            <w:fldChar w:fldCharType="separate"/>
          </w:r>
          <w:r>
            <w:rPr>
              <w:lang w:eastAsia="zh-CN"/>
            </w:rPr>
            <w:t>三、资源投入情况</w:t>
          </w:r>
          <w:r>
            <w:tab/>
          </w:r>
          <w:r>
            <w:fldChar w:fldCharType="begin"/>
          </w:r>
          <w:r>
            <w:instrText xml:space="preserve"> PAGEREF _Toc18591 \h </w:instrText>
          </w:r>
          <w:r>
            <w:fldChar w:fldCharType="separate"/>
          </w:r>
          <w:r>
            <w:t>2</w:t>
          </w:r>
          <w:r>
            <w:fldChar w:fldCharType="end"/>
          </w:r>
          <w:r>
            <w:rPr>
              <w:rFonts w:ascii="等线" w:hAnsi="等线" w:eastAsia="等线" w:cs="等线"/>
              <w:szCs w:val="24"/>
              <w:lang w:eastAsia="zh-CN"/>
            </w:rPr>
            <w:fldChar w:fldCharType="end"/>
          </w:r>
        </w:p>
        <w:p>
          <w:pPr>
            <w:pStyle w:val="7"/>
            <w:tabs>
              <w:tab w:val="right" w:leader="dot" w:pos="8337"/>
            </w:tabs>
          </w:pPr>
          <w:r>
            <w:rPr>
              <w:rFonts w:ascii="等线" w:hAnsi="等线" w:eastAsia="等线" w:cs="等线"/>
              <w:szCs w:val="24"/>
              <w:lang w:eastAsia="zh-CN"/>
            </w:rPr>
            <w:fldChar w:fldCharType="begin"/>
          </w:r>
          <w:r>
            <w:rPr>
              <w:rFonts w:ascii="等线" w:hAnsi="等线" w:eastAsia="等线" w:cs="等线"/>
              <w:szCs w:val="24"/>
              <w:lang w:eastAsia="zh-CN"/>
            </w:rPr>
            <w:instrText xml:space="preserve"> HYPERLINK \l _Toc15051 </w:instrText>
          </w:r>
          <w:r>
            <w:rPr>
              <w:rFonts w:ascii="等线" w:hAnsi="等线" w:eastAsia="等线" w:cs="等线"/>
              <w:szCs w:val="24"/>
              <w:lang w:eastAsia="zh-CN"/>
            </w:rPr>
            <w:fldChar w:fldCharType="separate"/>
          </w:r>
          <w:r>
            <w:rPr>
              <w:lang w:eastAsia="zh-CN"/>
            </w:rPr>
            <w:t>四、参与教学情况</w:t>
          </w:r>
          <w:r>
            <w:tab/>
          </w:r>
          <w:r>
            <w:fldChar w:fldCharType="begin"/>
          </w:r>
          <w:r>
            <w:instrText xml:space="preserve"> PAGEREF _Toc15051 \h </w:instrText>
          </w:r>
          <w:r>
            <w:fldChar w:fldCharType="separate"/>
          </w:r>
          <w:r>
            <w:t>4</w:t>
          </w:r>
          <w:r>
            <w:fldChar w:fldCharType="end"/>
          </w:r>
          <w:r>
            <w:rPr>
              <w:rFonts w:ascii="等线" w:hAnsi="等线" w:eastAsia="等线" w:cs="等线"/>
              <w:szCs w:val="24"/>
              <w:lang w:eastAsia="zh-CN"/>
            </w:rPr>
            <w:fldChar w:fldCharType="end"/>
          </w:r>
        </w:p>
        <w:p>
          <w:pPr>
            <w:pStyle w:val="7"/>
            <w:tabs>
              <w:tab w:val="right" w:leader="dot" w:pos="8337"/>
            </w:tabs>
          </w:pPr>
          <w:r>
            <w:rPr>
              <w:rFonts w:ascii="等线" w:hAnsi="等线" w:eastAsia="等线" w:cs="等线"/>
              <w:szCs w:val="24"/>
              <w:lang w:eastAsia="zh-CN"/>
            </w:rPr>
            <w:fldChar w:fldCharType="begin"/>
          </w:r>
          <w:r>
            <w:rPr>
              <w:rFonts w:ascii="等线" w:hAnsi="等线" w:eastAsia="等线" w:cs="等线"/>
              <w:szCs w:val="24"/>
              <w:lang w:eastAsia="zh-CN"/>
            </w:rPr>
            <w:instrText xml:space="preserve"> HYPERLINK \l _Toc7841 </w:instrText>
          </w:r>
          <w:r>
            <w:rPr>
              <w:rFonts w:ascii="等线" w:hAnsi="等线" w:eastAsia="等线" w:cs="等线"/>
              <w:szCs w:val="24"/>
              <w:lang w:eastAsia="zh-CN"/>
            </w:rPr>
            <w:fldChar w:fldCharType="separate"/>
          </w:r>
          <w:r>
            <w:rPr>
              <w:lang w:eastAsia="zh-CN"/>
            </w:rPr>
            <w:t>五、助推企业发展情况</w:t>
          </w:r>
          <w:r>
            <w:tab/>
          </w:r>
          <w:r>
            <w:fldChar w:fldCharType="begin"/>
          </w:r>
          <w:r>
            <w:instrText xml:space="preserve"> PAGEREF _Toc7841 \h </w:instrText>
          </w:r>
          <w:r>
            <w:fldChar w:fldCharType="separate"/>
          </w:r>
          <w:r>
            <w:t>5</w:t>
          </w:r>
          <w:r>
            <w:fldChar w:fldCharType="end"/>
          </w:r>
          <w:r>
            <w:rPr>
              <w:rFonts w:ascii="等线" w:hAnsi="等线" w:eastAsia="等线" w:cs="等线"/>
              <w:szCs w:val="24"/>
              <w:lang w:eastAsia="zh-CN"/>
            </w:rPr>
            <w:fldChar w:fldCharType="end"/>
          </w:r>
        </w:p>
        <w:p>
          <w:pPr>
            <w:pStyle w:val="7"/>
            <w:tabs>
              <w:tab w:val="right" w:leader="dot" w:pos="8337"/>
            </w:tabs>
          </w:pPr>
          <w:r>
            <w:rPr>
              <w:rFonts w:ascii="等线" w:hAnsi="等线" w:eastAsia="等线" w:cs="等线"/>
              <w:szCs w:val="24"/>
              <w:lang w:eastAsia="zh-CN"/>
            </w:rPr>
            <w:fldChar w:fldCharType="begin"/>
          </w:r>
          <w:r>
            <w:rPr>
              <w:rFonts w:ascii="等线" w:hAnsi="等线" w:eastAsia="等线" w:cs="等线"/>
              <w:szCs w:val="24"/>
              <w:lang w:eastAsia="zh-CN"/>
            </w:rPr>
            <w:instrText xml:space="preserve"> HYPERLINK \l _Toc13952 </w:instrText>
          </w:r>
          <w:r>
            <w:rPr>
              <w:rFonts w:ascii="等线" w:hAnsi="等线" w:eastAsia="等线" w:cs="等线"/>
              <w:szCs w:val="24"/>
              <w:lang w:eastAsia="zh-CN"/>
            </w:rPr>
            <w:fldChar w:fldCharType="separate"/>
          </w:r>
          <w:r>
            <w:rPr>
              <w:lang w:eastAsia="zh-CN"/>
            </w:rPr>
            <w:t>六、服务地方</w:t>
          </w:r>
          <w:r>
            <w:tab/>
          </w:r>
          <w:r>
            <w:fldChar w:fldCharType="begin"/>
          </w:r>
          <w:r>
            <w:instrText xml:space="preserve"> PAGEREF _Toc13952 \h </w:instrText>
          </w:r>
          <w:r>
            <w:fldChar w:fldCharType="separate"/>
          </w:r>
          <w:r>
            <w:t>6</w:t>
          </w:r>
          <w:r>
            <w:fldChar w:fldCharType="end"/>
          </w:r>
          <w:r>
            <w:rPr>
              <w:rFonts w:ascii="等线" w:hAnsi="等线" w:eastAsia="等线" w:cs="等线"/>
              <w:szCs w:val="24"/>
              <w:lang w:eastAsia="zh-CN"/>
            </w:rPr>
            <w:fldChar w:fldCharType="end"/>
          </w:r>
        </w:p>
        <w:p>
          <w:pPr>
            <w:pStyle w:val="7"/>
            <w:tabs>
              <w:tab w:val="right" w:leader="dot" w:pos="8337"/>
            </w:tabs>
          </w:pPr>
          <w:r>
            <w:rPr>
              <w:rFonts w:ascii="等线" w:hAnsi="等线" w:eastAsia="等线" w:cs="等线"/>
              <w:szCs w:val="24"/>
              <w:lang w:eastAsia="zh-CN"/>
            </w:rPr>
            <w:fldChar w:fldCharType="begin"/>
          </w:r>
          <w:r>
            <w:rPr>
              <w:rFonts w:ascii="等线" w:hAnsi="等线" w:eastAsia="等线" w:cs="等线"/>
              <w:szCs w:val="24"/>
              <w:lang w:eastAsia="zh-CN"/>
            </w:rPr>
            <w:instrText xml:space="preserve"> HYPERLINK \l _Toc3438 </w:instrText>
          </w:r>
          <w:r>
            <w:rPr>
              <w:rFonts w:ascii="等线" w:hAnsi="等线" w:eastAsia="等线" w:cs="等线"/>
              <w:szCs w:val="24"/>
              <w:lang w:eastAsia="zh-CN"/>
            </w:rPr>
            <w:fldChar w:fldCharType="separate"/>
          </w:r>
          <w:r>
            <w:rPr>
              <w:lang w:eastAsia="zh-CN"/>
            </w:rPr>
            <w:t>七、保障体系</w:t>
          </w:r>
          <w:r>
            <w:tab/>
          </w:r>
          <w:r>
            <w:fldChar w:fldCharType="begin"/>
          </w:r>
          <w:r>
            <w:instrText xml:space="preserve"> PAGEREF _Toc3438 \h </w:instrText>
          </w:r>
          <w:r>
            <w:fldChar w:fldCharType="separate"/>
          </w:r>
          <w:r>
            <w:t>7</w:t>
          </w:r>
          <w:r>
            <w:fldChar w:fldCharType="end"/>
          </w:r>
          <w:r>
            <w:rPr>
              <w:rFonts w:ascii="等线" w:hAnsi="等线" w:eastAsia="等线" w:cs="等线"/>
              <w:szCs w:val="24"/>
              <w:lang w:eastAsia="zh-CN"/>
            </w:rPr>
            <w:fldChar w:fldCharType="end"/>
          </w:r>
        </w:p>
        <w:p>
          <w:pPr>
            <w:pStyle w:val="7"/>
            <w:tabs>
              <w:tab w:val="right" w:leader="dot" w:pos="8337"/>
            </w:tabs>
          </w:pPr>
          <w:r>
            <w:rPr>
              <w:rFonts w:ascii="等线" w:hAnsi="等线" w:eastAsia="等线" w:cs="等线"/>
              <w:szCs w:val="24"/>
              <w:lang w:eastAsia="zh-CN"/>
            </w:rPr>
            <w:fldChar w:fldCharType="begin"/>
          </w:r>
          <w:r>
            <w:rPr>
              <w:rFonts w:ascii="等线" w:hAnsi="等线" w:eastAsia="等线" w:cs="等线"/>
              <w:szCs w:val="24"/>
              <w:lang w:eastAsia="zh-CN"/>
            </w:rPr>
            <w:instrText xml:space="preserve"> HYPERLINK \l _Toc13049 </w:instrText>
          </w:r>
          <w:r>
            <w:rPr>
              <w:rFonts w:ascii="等线" w:hAnsi="等线" w:eastAsia="等线" w:cs="等线"/>
              <w:szCs w:val="24"/>
              <w:lang w:eastAsia="zh-CN"/>
            </w:rPr>
            <w:fldChar w:fldCharType="separate"/>
          </w:r>
          <w:r>
            <w:rPr>
              <w:lang w:eastAsia="zh-CN"/>
            </w:rPr>
            <w:t>八、问题与展望</w:t>
          </w:r>
          <w:r>
            <w:tab/>
          </w:r>
          <w:r>
            <w:fldChar w:fldCharType="begin"/>
          </w:r>
          <w:r>
            <w:instrText xml:space="preserve"> PAGEREF _Toc13049 \h </w:instrText>
          </w:r>
          <w:r>
            <w:fldChar w:fldCharType="separate"/>
          </w:r>
          <w:r>
            <w:t>7</w:t>
          </w:r>
          <w:r>
            <w:fldChar w:fldCharType="end"/>
          </w:r>
          <w:r>
            <w:rPr>
              <w:rFonts w:ascii="等线" w:hAnsi="等线" w:eastAsia="等线" w:cs="等线"/>
              <w:szCs w:val="24"/>
              <w:lang w:eastAsia="zh-CN"/>
            </w:rPr>
            <w:fldChar w:fldCharType="end"/>
          </w:r>
        </w:p>
        <w:p>
          <w:pPr>
            <w:spacing w:line="360" w:lineRule="auto"/>
            <w:rPr>
              <w:rFonts w:ascii="等线" w:hAnsi="等线" w:eastAsia="等线" w:cs="等线"/>
              <w:b/>
              <w:snapToGrid w:val="0"/>
              <w:color w:val="000000"/>
              <w:sz w:val="24"/>
              <w:szCs w:val="21"/>
              <w:lang w:val="en-US" w:eastAsia="zh-CN" w:bidi="ar-SA"/>
            </w:rPr>
            <w:sectPr>
              <w:pgSz w:w="11907" w:h="16839"/>
              <w:pgMar w:top="1431" w:right="1785" w:bottom="0" w:left="1785" w:header="0" w:footer="0" w:gutter="0"/>
              <w:cols w:space="720" w:num="1"/>
            </w:sectPr>
          </w:pPr>
          <w:r>
            <w:rPr>
              <w:rFonts w:ascii="等线" w:hAnsi="等线" w:eastAsia="等线" w:cs="等线"/>
              <w:szCs w:val="24"/>
              <w:lang w:eastAsia="zh-CN"/>
            </w:rPr>
            <w:fldChar w:fldCharType="end"/>
          </w:r>
        </w:p>
      </w:sdtContent>
    </w:sdt>
    <w:p>
      <w:pPr>
        <w:pStyle w:val="2"/>
        <w:bidi w:val="0"/>
        <w:rPr>
          <w:lang w:eastAsia="zh-CN"/>
        </w:rPr>
      </w:pPr>
      <w:bookmarkStart w:id="0" w:name="_Toc21392"/>
      <w:bookmarkStart w:id="8" w:name="_GoBack"/>
      <w:bookmarkEnd w:id="8"/>
      <w:r>
        <w:rPr>
          <w:lang w:eastAsia="zh-CN"/>
        </w:rPr>
        <w:t>一、概况</w:t>
      </w:r>
      <w:bookmarkEnd w:id="0"/>
    </w:p>
    <w:p>
      <w:pPr>
        <w:bidi w:val="0"/>
        <w:ind w:firstLine="420" w:firstLineChars="0"/>
        <w:rPr>
          <w:lang w:eastAsia="zh-CN"/>
        </w:rPr>
      </w:pPr>
      <w:r>
        <w:rPr>
          <w:lang w:eastAsia="zh-CN"/>
        </w:rPr>
        <w:t>南京鸿鑫出海电子商务有限公司致力于为国际顶级电商平台 Shopee、Lazada、Tiktok 等的卖家提供一站式服务，致力于为商家提供以下服务：海外仓一站式服务，本土店铺代入驻/公司注册/商标注册，本土供应链货源提供，店铺孵化代运营，海外售后，全站点测评补单，跨境电商物流，店铺回款及广告代充值等一条龙跨境电商服务。业务范围覆盖马来、菲律宾、泰国、印尼、越南等地区。目前鸿鑫出海已设立了 5 个线下网点，公司总部坐落于江苏 南京，同时在马来、越南、印尼、菲律宾设立了子公司，为客户提供及时、周到和专业的服务。</w:t>
      </w:r>
    </w:p>
    <w:p>
      <w:pPr>
        <w:bidi w:val="0"/>
        <w:ind w:firstLine="420" w:firstLineChars="0"/>
        <w:rPr>
          <w:lang w:eastAsia="zh-CN"/>
        </w:rPr>
      </w:pPr>
      <w:r>
        <w:rPr>
          <w:lang w:eastAsia="zh-CN"/>
        </w:rPr>
        <w:t>优势一：自建本地合规仓储</w:t>
      </w:r>
    </w:p>
    <w:p>
      <w:pPr>
        <w:bidi w:val="0"/>
        <w:ind w:firstLine="420" w:firstLineChars="0"/>
        <w:rPr>
          <w:lang w:eastAsia="zh-CN"/>
        </w:rPr>
      </w:pPr>
      <w:r>
        <w:rPr>
          <w:lang w:eastAsia="zh-CN"/>
        </w:rPr>
        <w:t>目前已经设立了马来西亚，泰国，越南，菲律宾和印尼本地仓。仓储规模 达到 10 万方，配合自研 wina 仓储物流 ERP 系统，海外日单量超过 30000单。高校便捷的同时给客户提供更完善的服务。</w:t>
      </w:r>
    </w:p>
    <w:p>
      <w:pPr>
        <w:bidi w:val="0"/>
        <w:ind w:firstLine="420" w:firstLineChars="0"/>
        <w:rPr>
          <w:lang w:eastAsia="zh-CN"/>
        </w:rPr>
      </w:pPr>
      <w:r>
        <w:rPr>
          <w:lang w:eastAsia="zh-CN"/>
        </w:rPr>
        <w:t>优势二：强大的境外资源开发团队</w:t>
      </w:r>
    </w:p>
    <w:p>
      <w:pPr>
        <w:bidi w:val="0"/>
        <w:ind w:firstLine="420" w:firstLineChars="0"/>
        <w:rPr>
          <w:lang w:eastAsia="zh-CN"/>
        </w:rPr>
      </w:pPr>
      <w:r>
        <w:rPr>
          <w:lang w:eastAsia="zh-CN"/>
        </w:rPr>
        <w:t>鸿鑫出海团队渗入各个国家当地资源，丰富的海外国家资源开拓经验，娴熟各大境外社交平台玩法，可以最短时间获取各国所需要的资源。与境外无障沟通，及时解决遇到的问题。</w:t>
      </w:r>
    </w:p>
    <w:p>
      <w:pPr>
        <w:bidi w:val="0"/>
        <w:ind w:firstLine="420" w:firstLineChars="0"/>
        <w:rPr>
          <w:lang w:eastAsia="zh-CN"/>
        </w:rPr>
      </w:pPr>
      <w:r>
        <w:rPr>
          <w:lang w:eastAsia="zh-CN"/>
        </w:rPr>
        <w:t>优势三：完整一条龙服务体系</w:t>
      </w:r>
    </w:p>
    <w:p>
      <w:pPr>
        <w:bidi w:val="0"/>
        <w:ind w:firstLine="420" w:firstLineChars="0"/>
        <w:rPr>
          <w:lang w:eastAsia="zh-CN"/>
        </w:rPr>
      </w:pPr>
      <w:r>
        <w:rPr>
          <w:lang w:eastAsia="zh-CN"/>
        </w:rPr>
        <w:t>外界服务商鱼龙混杂，风险环节多，易受骗。鸿鑫出海团队提供Shopee/Lazada/Tiktok 一条龙整套闭环服务，从店铺运营到尾程派送，服务效率高又安全省心。</w:t>
      </w:r>
    </w:p>
    <w:p>
      <w:pPr>
        <w:bidi w:val="0"/>
        <w:ind w:firstLine="420" w:firstLineChars="0"/>
        <w:rPr>
          <w:lang w:eastAsia="zh-CN"/>
        </w:rPr>
      </w:pPr>
      <w:r>
        <w:rPr>
          <w:lang w:eastAsia="zh-CN"/>
        </w:rPr>
        <w:t>优势四：各站点货源供应链体系</w:t>
      </w:r>
    </w:p>
    <w:p>
      <w:pPr>
        <w:bidi w:val="0"/>
        <w:ind w:firstLine="420" w:firstLineChars="0"/>
        <w:rPr>
          <w:lang w:eastAsia="zh-CN"/>
        </w:rPr>
      </w:pPr>
      <w:r>
        <w:rPr>
          <w:lang w:eastAsia="zh-CN"/>
        </w:rPr>
        <w:t>团队深耕东南亚，对市场热卖、资源对接、备货跟进、运营技巧有丰富的经验积累。与各大工厂，品牌商合作，提前备货到海外以备分销。当地货源一件代发，最大化降低运营成本</w:t>
      </w:r>
    </w:p>
    <w:p>
      <w:pPr>
        <w:bidi w:val="0"/>
        <w:ind w:firstLine="420" w:firstLineChars="0"/>
        <w:rPr>
          <w:lang w:eastAsia="zh-CN"/>
        </w:rPr>
      </w:pPr>
      <w:r>
        <w:rPr>
          <w:lang w:eastAsia="zh-CN"/>
        </w:rPr>
        <w:t>优势五：完善技术支持</w:t>
      </w:r>
    </w:p>
    <w:p>
      <w:pPr>
        <w:bidi w:val="0"/>
        <w:ind w:firstLine="420" w:firstLineChars="0"/>
        <w:rPr>
          <w:lang w:eastAsia="zh-CN"/>
        </w:rPr>
      </w:pPr>
      <w:r>
        <w:rPr>
          <w:lang w:eastAsia="zh-CN"/>
        </w:rPr>
        <w:t>拥有自研成熟的 Wina 选品测品系统，头程物流运输系统，海外仓储 wms系统，系统直连平台，全程线上处理。确保给客户提供全方位立体式服务。</w:t>
      </w:r>
    </w:p>
    <w:p>
      <w:pPr>
        <w:pStyle w:val="2"/>
        <w:bidi w:val="0"/>
        <w:rPr>
          <w:lang w:eastAsia="zh-CN"/>
        </w:rPr>
      </w:pPr>
      <w:bookmarkStart w:id="1" w:name="_Toc19549"/>
      <w:r>
        <w:rPr>
          <w:lang w:eastAsia="zh-CN"/>
        </w:rPr>
        <w:t>二、参与办学情况</w:t>
      </w:r>
      <w:bookmarkEnd w:id="1"/>
    </w:p>
    <w:p>
      <w:pPr>
        <w:bidi w:val="0"/>
        <w:ind w:firstLine="420" w:firstLineChars="0"/>
        <w:rPr>
          <w:lang w:eastAsia="zh-CN"/>
        </w:rPr>
      </w:pPr>
      <w:r>
        <w:rPr>
          <w:lang w:eastAsia="zh-CN"/>
        </w:rPr>
        <w:t>采取校企合作共建的方式、课程置换的形式共建跨境电商运营中心、 Wina 家纺跨境直播基地。在东南亚跨境电商平台 Shopee、Lazada、Tiktok Shop等 主流互联网销售平台上进行运营实战训练、与学校专业老师深度探讨跨境电商运营教学课程建设，从头程物流、海外仓储、店铺运营、结汇换汇、 CRM、ERP、站外引流、海外品牌塑造等多个方面共同培育孵化在校学生。</w:t>
      </w:r>
    </w:p>
    <w:p>
      <w:pPr>
        <w:pStyle w:val="2"/>
        <w:bidi w:val="0"/>
        <w:rPr>
          <w:lang w:eastAsia="zh-CN"/>
        </w:rPr>
      </w:pPr>
      <w:bookmarkStart w:id="2" w:name="_Toc18591"/>
      <w:r>
        <w:rPr>
          <w:lang w:eastAsia="zh-CN"/>
        </w:rPr>
        <w:t>三、资源投入情况</w:t>
      </w:r>
      <w:bookmarkEnd w:id="2"/>
    </w:p>
    <w:p>
      <w:pPr>
        <w:bidi w:val="0"/>
        <w:ind w:firstLine="420" w:firstLineChars="0"/>
        <w:jc w:val="both"/>
        <w:rPr>
          <w:lang w:eastAsia="zh-CN"/>
        </w:rPr>
      </w:pPr>
      <w:r>
        <w:rPr>
          <w:lang w:eastAsia="zh-CN"/>
        </w:rPr>
        <w:t>南京鸿鑫出海电子商务有限公司与南京工业职业技术大学共建跨境电商运营中心、Wina 家纺跨境直播基地。提供货样品共计 60 于万元，自研系统 35 万元。同时开放马来西亚、泰国、越南、菲律宾海外货盘共享学生，鼓励学生实战操作海外电商平台，提供学生全流程东南亚跨境电商运营指导。</w:t>
      </w:r>
    </w:p>
    <w:p>
      <w:pPr>
        <w:bidi w:val="0"/>
        <w:ind w:firstLine="420" w:firstLineChars="0"/>
        <w:rPr>
          <w:lang w:eastAsia="zh-CN"/>
        </w:rPr>
      </w:pPr>
      <w:r>
        <w:rPr>
          <w:lang w:eastAsia="zh-CN"/>
        </w:rPr>
        <w:t>1.师资培训工作</w:t>
      </w:r>
    </w:p>
    <w:p>
      <w:pPr>
        <w:bidi w:val="0"/>
        <w:ind w:firstLine="420" w:firstLineChars="0"/>
        <w:jc w:val="both"/>
        <w:rPr>
          <w:lang w:eastAsia="zh-CN"/>
        </w:rPr>
      </w:pPr>
      <w:r>
        <w:rPr>
          <w:lang w:eastAsia="zh-CN"/>
        </w:rPr>
        <w:t>鸿鑫出海多次组织教师参加跨境电商技术培训，邀请教师参与实际项目运营（南通 Wina 家纺跨境电商运营等项目），鸿鑫出海派遣年销售额超 4000 万运营大卖参与一线授课。经过“双师 ”教师队伍建设，老师收获较大，不仅开拓了视野，接触到东南亚跨境电商运营专业知识和操作技能，使教师专业能力得到了提升，更有利于国际贸易、电子商务专业群今后的建设和发展。</w:t>
      </w:r>
    </w:p>
    <w:p>
      <w:pPr>
        <w:bidi w:val="0"/>
        <w:jc w:val="center"/>
      </w:pPr>
      <w:r>
        <w:rPr>
          <w:position w:val="-124"/>
        </w:rPr>
        <w:drawing>
          <wp:inline distT="0" distB="0" distL="0" distR="0">
            <wp:extent cx="4151630" cy="3085465"/>
            <wp:effectExtent l="0" t="0" r="1270" b="635"/>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
                    <a:stretch>
                      <a:fillRect/>
                    </a:stretch>
                  </pic:blipFill>
                  <pic:spPr>
                    <a:xfrm>
                      <a:off x="0" y="0"/>
                      <a:ext cx="4151630" cy="3085465"/>
                    </a:xfrm>
                    <a:prstGeom prst="rect">
                      <a:avLst/>
                    </a:prstGeom>
                  </pic:spPr>
                </pic:pic>
              </a:graphicData>
            </a:graphic>
          </wp:inline>
        </w:drawing>
      </w:r>
    </w:p>
    <w:p>
      <w:pPr>
        <w:bidi w:val="0"/>
        <w:jc w:val="center"/>
        <w:rPr>
          <w:lang w:eastAsia="zh-CN"/>
        </w:rPr>
      </w:pPr>
      <w:r>
        <w:rPr>
          <w:lang w:eastAsia="zh-CN"/>
        </w:rPr>
        <w:t>跨境电商运营中心学生上课</w:t>
      </w:r>
    </w:p>
    <w:p>
      <w:pPr>
        <w:bidi w:val="0"/>
        <w:jc w:val="center"/>
      </w:pPr>
      <w:r>
        <w:rPr>
          <w:position w:val="-109"/>
        </w:rPr>
        <w:drawing>
          <wp:inline distT="0" distB="0" distL="0" distR="0">
            <wp:extent cx="4050665" cy="2802890"/>
            <wp:effectExtent l="0" t="0" r="6985" b="1651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9"/>
                    <a:stretch>
                      <a:fillRect/>
                    </a:stretch>
                  </pic:blipFill>
                  <pic:spPr>
                    <a:xfrm>
                      <a:off x="0" y="0"/>
                      <a:ext cx="4050665" cy="2802890"/>
                    </a:xfrm>
                    <a:prstGeom prst="rect">
                      <a:avLst/>
                    </a:prstGeom>
                  </pic:spPr>
                </pic:pic>
              </a:graphicData>
            </a:graphic>
          </wp:inline>
        </w:drawing>
      </w:r>
    </w:p>
    <w:p>
      <w:pPr>
        <w:bidi w:val="0"/>
        <w:ind w:firstLine="420" w:firstLineChars="0"/>
        <w:jc w:val="center"/>
        <w:rPr>
          <w:lang w:eastAsia="zh-CN"/>
        </w:rPr>
      </w:pPr>
      <w:r>
        <w:rPr>
          <w:lang w:eastAsia="zh-CN"/>
        </w:rPr>
        <w:t>鸿鑫出海负责人朱益南 柬埔寨上课</w:t>
      </w:r>
    </w:p>
    <w:p>
      <w:pPr>
        <w:bidi w:val="0"/>
        <w:ind w:firstLine="420" w:firstLineChars="0"/>
        <w:rPr>
          <w:lang w:eastAsia="zh-CN"/>
        </w:rPr>
      </w:pPr>
      <w:r>
        <w:rPr>
          <w:lang w:eastAsia="zh-CN"/>
        </w:rPr>
        <w:t>2.家纺跨境电商实践基地建设</w:t>
      </w:r>
    </w:p>
    <w:p>
      <w:pPr>
        <w:bidi w:val="0"/>
        <w:ind w:firstLine="420" w:firstLineChars="0"/>
        <w:rPr>
          <w:lang w:eastAsia="zh-CN"/>
        </w:rPr>
      </w:pPr>
      <w:r>
        <w:rPr>
          <w:lang w:eastAsia="zh-CN"/>
        </w:rPr>
        <w:t>鸿鑫出海与南京工业职业技术大学共建境电商运营中心、Wina 家纺跨境直播基地、柬埔寨柬华应用技术大学孔子学院家纺直播基地，包含跨境电商运营配套店铺、销售产品样品、家纺直播基地、 Wina-WMS 操作基地。学生通过在直播基地的学习，可以快速上手操作东南亚跨境电商平台 hopee、Lazada、Tiktok Shop，同在学校期间积累跨境电商运营经验，增加学生就业能力。</w:t>
      </w:r>
    </w:p>
    <w:p>
      <w:pPr>
        <w:bidi w:val="0"/>
        <w:jc w:val="center"/>
      </w:pPr>
      <w:r>
        <w:rPr>
          <w:position w:val="-124"/>
        </w:rPr>
        <w:drawing>
          <wp:inline distT="0" distB="0" distL="0" distR="0">
            <wp:extent cx="4267200" cy="3111500"/>
            <wp:effectExtent l="0" t="0" r="0" b="1270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
                    <a:stretch>
                      <a:fillRect/>
                    </a:stretch>
                  </pic:blipFill>
                  <pic:spPr>
                    <a:xfrm>
                      <a:off x="0" y="0"/>
                      <a:ext cx="4267200" cy="3111500"/>
                    </a:xfrm>
                    <a:prstGeom prst="rect">
                      <a:avLst/>
                    </a:prstGeom>
                  </pic:spPr>
                </pic:pic>
              </a:graphicData>
            </a:graphic>
          </wp:inline>
        </w:drawing>
      </w:r>
    </w:p>
    <w:p>
      <w:pPr>
        <w:bidi w:val="0"/>
        <w:jc w:val="center"/>
        <w:rPr>
          <w:lang w:eastAsia="zh-CN"/>
        </w:rPr>
      </w:pPr>
      <w:r>
        <w:rPr>
          <w:rFonts w:ascii="宋体" w:hAnsi="宋体" w:eastAsia="宋体" w:cs="宋体"/>
          <w:sz w:val="24"/>
          <w:szCs w:val="24"/>
          <w:lang w:eastAsia="zh-CN"/>
        </w:rPr>
        <w:t>南京工业职业技术大学校长 谢永华一行参</w:t>
      </w:r>
      <w:r>
        <w:rPr>
          <w:rFonts w:ascii="宋体" w:hAnsi="宋体" w:eastAsia="宋体" w:cs="宋体"/>
          <w:spacing w:val="-1"/>
          <w:sz w:val="24"/>
          <w:szCs w:val="24"/>
          <w:lang w:eastAsia="zh-CN"/>
        </w:rPr>
        <w:t>观鸿鑫出海马来西亚海外仓库</w:t>
      </w:r>
    </w:p>
    <w:p>
      <w:pPr>
        <w:pStyle w:val="2"/>
        <w:bidi w:val="0"/>
        <w:rPr>
          <w:lang w:eastAsia="zh-CN"/>
        </w:rPr>
      </w:pPr>
      <w:bookmarkStart w:id="3" w:name="_Toc15051"/>
      <w:r>
        <w:rPr>
          <w:lang w:eastAsia="zh-CN"/>
        </w:rPr>
        <w:t>四、参与教学情况</w:t>
      </w:r>
      <w:bookmarkEnd w:id="3"/>
    </w:p>
    <w:p>
      <w:pPr>
        <w:bidi w:val="0"/>
        <w:ind w:firstLine="420" w:firstLineChars="0"/>
        <w:rPr>
          <w:lang w:eastAsia="zh-CN"/>
        </w:rPr>
      </w:pPr>
      <w:r>
        <w:rPr>
          <w:lang w:eastAsia="zh-CN"/>
        </w:rPr>
        <w:t>1.教学课程建设</w:t>
      </w:r>
    </w:p>
    <w:p>
      <w:pPr>
        <w:bidi w:val="0"/>
        <w:ind w:firstLine="420" w:firstLineChars="0"/>
        <w:rPr>
          <w:lang w:eastAsia="zh-CN"/>
        </w:rPr>
      </w:pPr>
      <w:r>
        <w:rPr>
          <w:lang w:eastAsia="zh-CN"/>
        </w:rPr>
        <w:t>为了创新国际经济与贸易特区专业人才培养模式，培养跨境电商企业亟需的高层次技术技能人才，同时也是为了推动产教融合、校企合作，引入跨境电商企业优质教育资源，实现“岗、课、创”深度融合， 商务贸易学院和鸿鑫出海从国际经济与贸易专业大四学生中通过自愿报名和择优选拔的基础上，组建“双创精英班”。具体课程如下：</w:t>
      </w:r>
    </w:p>
    <w:tbl>
      <w:tblPr>
        <w:tblStyle w:val="10"/>
        <w:tblW w:w="8144"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07"/>
        <w:gridCol w:w="1344"/>
        <w:gridCol w:w="2202"/>
        <w:gridCol w:w="1379"/>
        <w:gridCol w:w="151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4" w:hRule="atLeast"/>
        </w:trPr>
        <w:tc>
          <w:tcPr>
            <w:tcW w:w="1707" w:type="dxa"/>
          </w:tcPr>
          <w:p>
            <w:pPr>
              <w:spacing w:before="120" w:line="468" w:lineRule="exact"/>
              <w:ind w:left="121"/>
              <w:rPr>
                <w:rFonts w:ascii="黑体" w:hAnsi="黑体" w:eastAsia="黑体" w:cs="黑体"/>
                <w:sz w:val="24"/>
                <w:szCs w:val="24"/>
                <w:lang w:eastAsia="zh-CN"/>
              </w:rPr>
            </w:pPr>
            <w:r>
              <w:rPr>
                <w:rFonts w:ascii="黑体" w:hAnsi="黑体" w:eastAsia="黑体" w:cs="黑体"/>
                <w:spacing w:val="5"/>
                <w:position w:val="17"/>
                <w:sz w:val="24"/>
                <w:szCs w:val="24"/>
                <w:lang w:eastAsia="zh-CN"/>
              </w:rPr>
              <w:t>人才培养方案</w:t>
            </w:r>
          </w:p>
          <w:p>
            <w:pPr>
              <w:spacing w:line="218" w:lineRule="auto"/>
              <w:ind w:left="118"/>
              <w:rPr>
                <w:rFonts w:ascii="黑体" w:hAnsi="黑体" w:eastAsia="黑体" w:cs="黑体"/>
                <w:sz w:val="24"/>
                <w:szCs w:val="24"/>
                <w:lang w:eastAsia="zh-CN"/>
              </w:rPr>
            </w:pPr>
            <w:r>
              <w:rPr>
                <w:rFonts w:ascii="黑体" w:hAnsi="黑体" w:eastAsia="黑体" w:cs="黑体"/>
                <w:spacing w:val="-2"/>
                <w:sz w:val="24"/>
                <w:szCs w:val="24"/>
                <w:lang w:eastAsia="zh-CN"/>
              </w:rPr>
              <w:t>设置课程</w:t>
            </w:r>
          </w:p>
        </w:tc>
        <w:tc>
          <w:tcPr>
            <w:tcW w:w="1344" w:type="dxa"/>
          </w:tcPr>
          <w:p>
            <w:pPr>
              <w:spacing w:before="120" w:line="218" w:lineRule="auto"/>
              <w:ind w:left="121"/>
              <w:rPr>
                <w:rFonts w:ascii="黑体" w:hAnsi="黑体" w:eastAsia="黑体" w:cs="黑体"/>
                <w:sz w:val="24"/>
                <w:szCs w:val="24"/>
              </w:rPr>
            </w:pPr>
            <w:r>
              <w:rPr>
                <w:rFonts w:ascii="黑体" w:hAnsi="黑体" w:eastAsia="黑体" w:cs="黑体"/>
                <w:spacing w:val="-4"/>
                <w:sz w:val="24"/>
                <w:szCs w:val="24"/>
              </w:rPr>
              <w:t>学分/学时</w:t>
            </w:r>
          </w:p>
        </w:tc>
        <w:tc>
          <w:tcPr>
            <w:tcW w:w="2202" w:type="dxa"/>
          </w:tcPr>
          <w:p>
            <w:pPr>
              <w:spacing w:before="120" w:line="468" w:lineRule="exact"/>
              <w:ind w:left="131"/>
              <w:rPr>
                <w:rFonts w:ascii="黑体" w:hAnsi="黑体" w:eastAsia="黑体" w:cs="黑体"/>
                <w:sz w:val="24"/>
                <w:szCs w:val="24"/>
                <w:lang w:eastAsia="zh-CN"/>
              </w:rPr>
            </w:pPr>
            <w:r>
              <w:rPr>
                <w:rFonts w:ascii="黑体" w:hAnsi="黑体" w:eastAsia="黑体" w:cs="黑体"/>
                <w:spacing w:val="5"/>
                <w:position w:val="17"/>
                <w:sz w:val="24"/>
                <w:szCs w:val="24"/>
                <w:lang w:eastAsia="zh-CN"/>
              </w:rPr>
              <w:t>由企业开设的对应</w:t>
            </w:r>
          </w:p>
          <w:p>
            <w:pPr>
              <w:spacing w:line="218" w:lineRule="auto"/>
              <w:ind w:left="115"/>
              <w:rPr>
                <w:rFonts w:ascii="黑体" w:hAnsi="黑体" w:eastAsia="黑体" w:cs="黑体"/>
                <w:sz w:val="24"/>
                <w:szCs w:val="24"/>
                <w:lang w:eastAsia="zh-CN"/>
              </w:rPr>
            </w:pPr>
            <w:r>
              <w:rPr>
                <w:rFonts w:ascii="黑体" w:hAnsi="黑体" w:eastAsia="黑体" w:cs="黑体"/>
                <w:spacing w:val="-2"/>
                <w:sz w:val="24"/>
                <w:szCs w:val="24"/>
                <w:lang w:eastAsia="zh-CN"/>
              </w:rPr>
              <w:t>替代课程</w:t>
            </w:r>
          </w:p>
        </w:tc>
        <w:tc>
          <w:tcPr>
            <w:tcW w:w="1379" w:type="dxa"/>
          </w:tcPr>
          <w:p>
            <w:pPr>
              <w:spacing w:before="120" w:line="218" w:lineRule="auto"/>
              <w:ind w:left="123"/>
              <w:rPr>
                <w:rFonts w:ascii="黑体" w:hAnsi="黑体" w:eastAsia="黑体" w:cs="黑体"/>
                <w:sz w:val="24"/>
                <w:szCs w:val="24"/>
              </w:rPr>
            </w:pPr>
            <w:r>
              <w:rPr>
                <w:rFonts w:ascii="黑体" w:hAnsi="黑体" w:eastAsia="黑体" w:cs="黑体"/>
                <w:spacing w:val="-4"/>
                <w:sz w:val="24"/>
                <w:szCs w:val="24"/>
              </w:rPr>
              <w:t>学分/学时</w:t>
            </w:r>
          </w:p>
        </w:tc>
        <w:tc>
          <w:tcPr>
            <w:tcW w:w="1512" w:type="dxa"/>
          </w:tcPr>
          <w:p>
            <w:pPr>
              <w:spacing w:before="120" w:line="218" w:lineRule="auto"/>
              <w:ind w:left="124"/>
              <w:rPr>
                <w:rFonts w:ascii="黑体" w:hAnsi="黑体" w:eastAsia="黑体" w:cs="黑体"/>
                <w:sz w:val="24"/>
                <w:szCs w:val="24"/>
              </w:rPr>
            </w:pPr>
            <w:r>
              <w:rPr>
                <w:rFonts w:ascii="黑体" w:hAnsi="黑体" w:eastAsia="黑体" w:cs="黑体"/>
                <w:spacing w:val="-4"/>
                <w:sz w:val="24"/>
                <w:szCs w:val="24"/>
              </w:rPr>
              <w:t>学生来源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707" w:type="dxa"/>
          </w:tcPr>
          <w:p>
            <w:pPr>
              <w:pStyle w:val="11"/>
              <w:spacing w:before="192" w:line="206" w:lineRule="auto"/>
              <w:ind w:left="148"/>
            </w:pPr>
            <w:r>
              <w:rPr>
                <w:spacing w:val="-6"/>
              </w:rPr>
              <w:t>国际金融实务</w:t>
            </w:r>
          </w:p>
        </w:tc>
        <w:tc>
          <w:tcPr>
            <w:tcW w:w="1344" w:type="dxa"/>
          </w:tcPr>
          <w:p>
            <w:pPr>
              <w:pStyle w:val="11"/>
              <w:spacing w:before="192" w:line="213" w:lineRule="auto"/>
              <w:ind w:left="110"/>
            </w:pPr>
            <w:r>
              <w:rPr>
                <w:spacing w:val="-1"/>
              </w:rPr>
              <w:t>2/32</w:t>
            </w:r>
          </w:p>
        </w:tc>
        <w:tc>
          <w:tcPr>
            <w:tcW w:w="2202" w:type="dxa"/>
          </w:tcPr>
          <w:p>
            <w:pPr>
              <w:pStyle w:val="11"/>
              <w:spacing w:before="192" w:line="206" w:lineRule="auto"/>
              <w:ind w:left="121"/>
            </w:pPr>
            <w:r>
              <w:rPr>
                <w:spacing w:val="-2"/>
              </w:rPr>
              <w:t>跨境电商金融实务</w:t>
            </w:r>
          </w:p>
        </w:tc>
        <w:tc>
          <w:tcPr>
            <w:tcW w:w="1379" w:type="dxa"/>
          </w:tcPr>
          <w:p>
            <w:pPr>
              <w:pStyle w:val="11"/>
              <w:spacing w:before="192" w:line="213" w:lineRule="auto"/>
              <w:ind w:left="112"/>
            </w:pPr>
            <w:r>
              <w:rPr>
                <w:spacing w:val="-1"/>
              </w:rPr>
              <w:t>2/32</w:t>
            </w:r>
          </w:p>
        </w:tc>
        <w:tc>
          <w:tcPr>
            <w:tcW w:w="1512" w:type="dxa"/>
          </w:tcPr>
          <w:p>
            <w:pPr>
              <w:pStyle w:val="11"/>
              <w:spacing w:before="230" w:line="176" w:lineRule="auto"/>
              <w:ind w:left="119"/>
            </w:pPr>
            <w:r>
              <w:rPr>
                <w:spacing w:val="-2"/>
              </w:rPr>
              <w:t>3+2&amp;5+2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1707" w:type="dxa"/>
          </w:tcPr>
          <w:p>
            <w:pPr>
              <w:pStyle w:val="11"/>
              <w:spacing w:before="193" w:line="206" w:lineRule="auto"/>
              <w:ind w:left="123"/>
            </w:pPr>
            <w:r>
              <w:rPr>
                <w:spacing w:val="-4"/>
              </w:rPr>
              <w:t>通关实务</w:t>
            </w:r>
          </w:p>
        </w:tc>
        <w:tc>
          <w:tcPr>
            <w:tcW w:w="1344" w:type="dxa"/>
          </w:tcPr>
          <w:p>
            <w:pPr>
              <w:pStyle w:val="11"/>
              <w:spacing w:before="193" w:line="213" w:lineRule="auto"/>
              <w:ind w:left="116"/>
            </w:pPr>
            <w:r>
              <w:rPr>
                <w:spacing w:val="-3"/>
              </w:rPr>
              <w:t>3/48</w:t>
            </w:r>
          </w:p>
        </w:tc>
        <w:tc>
          <w:tcPr>
            <w:tcW w:w="2202" w:type="dxa"/>
          </w:tcPr>
          <w:p>
            <w:pPr>
              <w:pStyle w:val="11"/>
              <w:spacing w:before="193" w:line="206" w:lineRule="auto"/>
              <w:ind w:left="121"/>
            </w:pPr>
            <w:r>
              <w:rPr>
                <w:spacing w:val="-2"/>
              </w:rPr>
              <w:t>跨境电商通关实务</w:t>
            </w:r>
          </w:p>
        </w:tc>
        <w:tc>
          <w:tcPr>
            <w:tcW w:w="1379" w:type="dxa"/>
          </w:tcPr>
          <w:p>
            <w:pPr>
              <w:pStyle w:val="11"/>
              <w:spacing w:before="193" w:line="213" w:lineRule="auto"/>
              <w:ind w:left="118"/>
            </w:pPr>
            <w:r>
              <w:rPr>
                <w:spacing w:val="-3"/>
              </w:rPr>
              <w:t>3/48</w:t>
            </w:r>
          </w:p>
        </w:tc>
        <w:tc>
          <w:tcPr>
            <w:tcW w:w="1512" w:type="dxa"/>
          </w:tcPr>
          <w:p>
            <w:pPr>
              <w:pStyle w:val="11"/>
              <w:spacing w:before="231" w:line="176" w:lineRule="auto"/>
              <w:ind w:left="119"/>
            </w:pPr>
            <w:r>
              <w:rPr>
                <w:spacing w:val="-2"/>
              </w:rPr>
              <w:t>3+2&amp;5+2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2" w:hRule="atLeast"/>
        </w:trPr>
        <w:tc>
          <w:tcPr>
            <w:tcW w:w="1707" w:type="dxa"/>
          </w:tcPr>
          <w:p>
            <w:pPr>
              <w:pStyle w:val="11"/>
              <w:spacing w:before="193" w:line="624" w:lineRule="exact"/>
              <w:ind w:left="135"/>
            </w:pPr>
            <w:r>
              <w:rPr>
                <w:spacing w:val="3"/>
                <w:position w:val="31"/>
              </w:rPr>
              <w:t>外贸企业参展</w:t>
            </w:r>
          </w:p>
          <w:p>
            <w:pPr>
              <w:pStyle w:val="11"/>
              <w:spacing w:line="206" w:lineRule="auto"/>
              <w:ind w:left="132"/>
            </w:pPr>
            <w:r>
              <w:rPr>
                <w:spacing w:val="-7"/>
              </w:rPr>
              <w:t>实务</w:t>
            </w:r>
          </w:p>
        </w:tc>
        <w:tc>
          <w:tcPr>
            <w:tcW w:w="1344" w:type="dxa"/>
          </w:tcPr>
          <w:p>
            <w:pPr>
              <w:pStyle w:val="11"/>
              <w:spacing w:before="193" w:line="213" w:lineRule="auto"/>
              <w:ind w:left="110"/>
            </w:pPr>
            <w:r>
              <w:rPr>
                <w:spacing w:val="-1"/>
              </w:rPr>
              <w:t>2/32</w:t>
            </w:r>
          </w:p>
        </w:tc>
        <w:tc>
          <w:tcPr>
            <w:tcW w:w="2202" w:type="dxa"/>
          </w:tcPr>
          <w:p>
            <w:pPr>
              <w:pStyle w:val="11"/>
              <w:spacing w:before="193" w:line="624" w:lineRule="exact"/>
              <w:ind w:left="121"/>
              <w:rPr>
                <w:lang w:eastAsia="zh-CN"/>
              </w:rPr>
            </w:pPr>
            <w:r>
              <w:rPr>
                <w:spacing w:val="6"/>
                <w:position w:val="31"/>
                <w:lang w:eastAsia="zh-CN"/>
              </w:rPr>
              <w:t>跨境电商供应链开</w:t>
            </w:r>
          </w:p>
          <w:p>
            <w:pPr>
              <w:pStyle w:val="11"/>
              <w:spacing w:line="203" w:lineRule="auto"/>
              <w:ind w:left="124"/>
              <w:rPr>
                <w:lang w:eastAsia="zh-CN"/>
              </w:rPr>
            </w:pPr>
            <w:r>
              <w:rPr>
                <w:spacing w:val="-4"/>
                <w:lang w:eastAsia="zh-CN"/>
              </w:rPr>
              <w:t>发与管理</w:t>
            </w:r>
          </w:p>
        </w:tc>
        <w:tc>
          <w:tcPr>
            <w:tcW w:w="1379" w:type="dxa"/>
          </w:tcPr>
          <w:p>
            <w:pPr>
              <w:pStyle w:val="11"/>
              <w:spacing w:before="193" w:line="213" w:lineRule="auto"/>
              <w:ind w:left="112"/>
            </w:pPr>
            <w:r>
              <w:rPr>
                <w:spacing w:val="-1"/>
              </w:rPr>
              <w:t>2/32</w:t>
            </w:r>
          </w:p>
        </w:tc>
        <w:tc>
          <w:tcPr>
            <w:tcW w:w="1512" w:type="dxa"/>
          </w:tcPr>
          <w:p>
            <w:pPr>
              <w:pStyle w:val="11"/>
              <w:spacing w:before="232" w:line="175" w:lineRule="auto"/>
              <w:ind w:left="119"/>
            </w:pPr>
            <w:r>
              <w:rPr>
                <w:spacing w:val="-2"/>
              </w:rPr>
              <w:t>3+2&amp;4+0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1707" w:type="dxa"/>
          </w:tcPr>
          <w:p>
            <w:pPr>
              <w:pStyle w:val="11"/>
              <w:spacing w:before="193" w:line="208" w:lineRule="auto"/>
              <w:ind w:left="148"/>
            </w:pPr>
            <w:r>
              <w:rPr>
                <w:spacing w:val="-6"/>
              </w:rPr>
              <w:t>国际市场营销</w:t>
            </w:r>
          </w:p>
        </w:tc>
        <w:tc>
          <w:tcPr>
            <w:tcW w:w="1344" w:type="dxa"/>
          </w:tcPr>
          <w:p>
            <w:pPr>
              <w:pStyle w:val="11"/>
              <w:spacing w:before="194" w:line="213" w:lineRule="auto"/>
              <w:ind w:left="110"/>
            </w:pPr>
            <w:r>
              <w:rPr>
                <w:spacing w:val="-1"/>
              </w:rPr>
              <w:t>2/32</w:t>
            </w:r>
          </w:p>
        </w:tc>
        <w:tc>
          <w:tcPr>
            <w:tcW w:w="2202" w:type="dxa"/>
          </w:tcPr>
          <w:p>
            <w:pPr>
              <w:pStyle w:val="11"/>
              <w:spacing w:before="194" w:line="624" w:lineRule="exact"/>
              <w:ind w:left="124"/>
            </w:pPr>
            <w:r>
              <w:rPr>
                <w:spacing w:val="5"/>
                <w:position w:val="31"/>
              </w:rPr>
              <w:t>海外平台营销与推</w:t>
            </w:r>
          </w:p>
          <w:p>
            <w:pPr>
              <w:pStyle w:val="11"/>
              <w:spacing w:line="210" w:lineRule="auto"/>
              <w:ind w:left="126"/>
            </w:pPr>
            <w:r>
              <w:t>广</w:t>
            </w:r>
          </w:p>
        </w:tc>
        <w:tc>
          <w:tcPr>
            <w:tcW w:w="1379" w:type="dxa"/>
          </w:tcPr>
          <w:p>
            <w:pPr>
              <w:pStyle w:val="11"/>
              <w:spacing w:before="194" w:line="213" w:lineRule="auto"/>
              <w:ind w:left="112"/>
            </w:pPr>
            <w:r>
              <w:rPr>
                <w:spacing w:val="-1"/>
              </w:rPr>
              <w:t>2/32</w:t>
            </w:r>
          </w:p>
        </w:tc>
        <w:tc>
          <w:tcPr>
            <w:tcW w:w="1512" w:type="dxa"/>
          </w:tcPr>
          <w:p>
            <w:pPr>
              <w:pStyle w:val="11"/>
              <w:spacing w:before="232" w:line="176" w:lineRule="auto"/>
              <w:ind w:left="119"/>
            </w:pPr>
            <w:r>
              <w:rPr>
                <w:spacing w:val="-2"/>
              </w:rPr>
              <w:t>3+2&amp;5+2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1707" w:type="dxa"/>
          </w:tcPr>
          <w:p>
            <w:pPr>
              <w:pStyle w:val="11"/>
              <w:spacing w:before="195" w:line="205" w:lineRule="auto"/>
              <w:ind w:left="131"/>
            </w:pPr>
            <w:r>
              <w:rPr>
                <w:spacing w:val="-4"/>
              </w:rPr>
              <w:t>商务英语听说</w:t>
            </w:r>
          </w:p>
        </w:tc>
        <w:tc>
          <w:tcPr>
            <w:tcW w:w="1344" w:type="dxa"/>
          </w:tcPr>
          <w:p>
            <w:pPr>
              <w:pStyle w:val="11"/>
              <w:spacing w:before="195" w:line="213" w:lineRule="auto"/>
              <w:ind w:left="110"/>
            </w:pPr>
            <w:r>
              <w:rPr>
                <w:spacing w:val="-1"/>
              </w:rPr>
              <w:t>2/32</w:t>
            </w:r>
          </w:p>
        </w:tc>
        <w:tc>
          <w:tcPr>
            <w:tcW w:w="2202" w:type="dxa"/>
          </w:tcPr>
          <w:p>
            <w:pPr>
              <w:pStyle w:val="11"/>
              <w:spacing w:before="195" w:line="206" w:lineRule="auto"/>
              <w:ind w:left="121"/>
            </w:pPr>
            <w:r>
              <w:rPr>
                <w:spacing w:val="-3"/>
              </w:rPr>
              <w:t>跨境电商直播</w:t>
            </w:r>
          </w:p>
        </w:tc>
        <w:tc>
          <w:tcPr>
            <w:tcW w:w="1379" w:type="dxa"/>
          </w:tcPr>
          <w:p>
            <w:pPr>
              <w:pStyle w:val="11"/>
              <w:spacing w:before="195" w:line="213" w:lineRule="auto"/>
              <w:ind w:left="112"/>
            </w:pPr>
            <w:r>
              <w:rPr>
                <w:spacing w:val="-1"/>
              </w:rPr>
              <w:t>2/32</w:t>
            </w:r>
          </w:p>
        </w:tc>
        <w:tc>
          <w:tcPr>
            <w:tcW w:w="1512" w:type="dxa"/>
          </w:tcPr>
          <w:p>
            <w:pPr>
              <w:pStyle w:val="11"/>
              <w:spacing w:before="233" w:line="176" w:lineRule="auto"/>
              <w:ind w:left="119"/>
            </w:pPr>
            <w:r>
              <w:rPr>
                <w:spacing w:val="-2"/>
              </w:rPr>
              <w:t>3+2&amp;5+2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0" w:hRule="atLeast"/>
        </w:trPr>
        <w:tc>
          <w:tcPr>
            <w:tcW w:w="1707" w:type="dxa"/>
          </w:tcPr>
          <w:p>
            <w:pPr>
              <w:pStyle w:val="11"/>
              <w:spacing w:before="195" w:line="206" w:lineRule="auto"/>
              <w:ind w:left="148"/>
            </w:pPr>
            <w:r>
              <w:rPr>
                <w:spacing w:val="-8"/>
              </w:rPr>
              <w:t>国际商法</w:t>
            </w:r>
          </w:p>
        </w:tc>
        <w:tc>
          <w:tcPr>
            <w:tcW w:w="1344" w:type="dxa"/>
          </w:tcPr>
          <w:p>
            <w:pPr>
              <w:pStyle w:val="11"/>
              <w:spacing w:before="195" w:line="213" w:lineRule="auto"/>
              <w:ind w:left="110"/>
            </w:pPr>
            <w:r>
              <w:rPr>
                <w:spacing w:val="-1"/>
              </w:rPr>
              <w:t>2/32</w:t>
            </w:r>
          </w:p>
        </w:tc>
        <w:tc>
          <w:tcPr>
            <w:tcW w:w="2202" w:type="dxa"/>
          </w:tcPr>
          <w:p>
            <w:pPr>
              <w:pStyle w:val="11"/>
              <w:spacing w:before="195" w:line="624" w:lineRule="exact"/>
              <w:ind w:left="121"/>
              <w:rPr>
                <w:lang w:eastAsia="zh-CN"/>
              </w:rPr>
            </w:pPr>
            <w:r>
              <w:rPr>
                <w:spacing w:val="6"/>
                <w:position w:val="31"/>
                <w:lang w:eastAsia="zh-CN"/>
              </w:rPr>
              <w:t>跨境电商运营法律</w:t>
            </w:r>
          </w:p>
          <w:p>
            <w:pPr>
              <w:pStyle w:val="11"/>
              <w:spacing w:line="210" w:lineRule="auto"/>
              <w:ind w:left="126"/>
              <w:rPr>
                <w:lang w:eastAsia="zh-CN"/>
              </w:rPr>
            </w:pPr>
            <w:r>
              <w:rPr>
                <w:spacing w:val="-6"/>
                <w:lang w:eastAsia="zh-CN"/>
              </w:rPr>
              <w:t>法规</w:t>
            </w:r>
          </w:p>
        </w:tc>
        <w:tc>
          <w:tcPr>
            <w:tcW w:w="1379" w:type="dxa"/>
          </w:tcPr>
          <w:p>
            <w:pPr>
              <w:pStyle w:val="11"/>
              <w:spacing w:before="195" w:line="213" w:lineRule="auto"/>
              <w:ind w:left="112"/>
            </w:pPr>
            <w:r>
              <w:rPr>
                <w:spacing w:val="-1"/>
              </w:rPr>
              <w:t>2/32</w:t>
            </w:r>
          </w:p>
        </w:tc>
        <w:tc>
          <w:tcPr>
            <w:tcW w:w="1512" w:type="dxa"/>
          </w:tcPr>
          <w:p>
            <w:pPr>
              <w:pStyle w:val="11"/>
              <w:spacing w:before="235" w:line="175" w:lineRule="auto"/>
              <w:ind w:left="114"/>
            </w:pPr>
            <w:r>
              <w:rPr>
                <w:spacing w:val="-3"/>
              </w:rPr>
              <w:t>4+0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8" w:hRule="atLeast"/>
        </w:trPr>
        <w:tc>
          <w:tcPr>
            <w:tcW w:w="1707" w:type="dxa"/>
          </w:tcPr>
          <w:p>
            <w:pPr>
              <w:pStyle w:val="11"/>
              <w:spacing w:before="198" w:line="209" w:lineRule="auto"/>
              <w:ind w:left="148"/>
            </w:pPr>
            <w:r>
              <w:rPr>
                <w:spacing w:val="-6"/>
              </w:rPr>
              <w:t>国际贸易地理</w:t>
            </w:r>
          </w:p>
        </w:tc>
        <w:tc>
          <w:tcPr>
            <w:tcW w:w="1344" w:type="dxa"/>
          </w:tcPr>
          <w:p>
            <w:pPr>
              <w:pStyle w:val="11"/>
              <w:spacing w:before="199" w:line="213" w:lineRule="auto"/>
              <w:ind w:left="110"/>
            </w:pPr>
            <w:r>
              <w:rPr>
                <w:spacing w:val="-1"/>
              </w:rPr>
              <w:t>2/32</w:t>
            </w:r>
          </w:p>
        </w:tc>
        <w:tc>
          <w:tcPr>
            <w:tcW w:w="2202" w:type="dxa"/>
          </w:tcPr>
          <w:p>
            <w:pPr>
              <w:pStyle w:val="11"/>
              <w:spacing w:before="199" w:line="624" w:lineRule="exact"/>
              <w:ind w:left="118"/>
              <w:rPr>
                <w:lang w:eastAsia="zh-CN"/>
              </w:rPr>
            </w:pPr>
            <w:r>
              <w:rPr>
                <w:spacing w:val="6"/>
                <w:position w:val="31"/>
                <w:lang w:eastAsia="zh-CN"/>
              </w:rPr>
              <w:t>全球跨境电商区域</w:t>
            </w:r>
          </w:p>
          <w:p>
            <w:pPr>
              <w:pStyle w:val="11"/>
              <w:spacing w:before="1" w:line="205" w:lineRule="auto"/>
              <w:ind w:left="118"/>
              <w:rPr>
                <w:lang w:eastAsia="zh-CN"/>
              </w:rPr>
            </w:pPr>
            <w:r>
              <w:rPr>
                <w:spacing w:val="-4"/>
                <w:lang w:eastAsia="zh-CN"/>
              </w:rPr>
              <w:t>介绍</w:t>
            </w:r>
          </w:p>
        </w:tc>
        <w:tc>
          <w:tcPr>
            <w:tcW w:w="1379" w:type="dxa"/>
          </w:tcPr>
          <w:p>
            <w:pPr>
              <w:pStyle w:val="11"/>
              <w:spacing w:before="199" w:line="213" w:lineRule="auto"/>
              <w:ind w:left="112"/>
            </w:pPr>
            <w:r>
              <w:rPr>
                <w:spacing w:val="-1"/>
              </w:rPr>
              <w:t>2/32</w:t>
            </w:r>
          </w:p>
        </w:tc>
        <w:tc>
          <w:tcPr>
            <w:tcW w:w="1512" w:type="dxa"/>
          </w:tcPr>
          <w:p>
            <w:pPr>
              <w:pStyle w:val="11"/>
              <w:spacing w:before="238" w:line="175" w:lineRule="auto"/>
              <w:ind w:left="114"/>
            </w:pPr>
            <w:r>
              <w:rPr>
                <w:spacing w:val="-3"/>
              </w:rPr>
              <w:t>4+0</w:t>
            </w:r>
          </w:p>
        </w:tc>
      </w:tr>
    </w:tbl>
    <w:p>
      <w:pPr>
        <w:pStyle w:val="4"/>
        <w:spacing w:line="464" w:lineRule="auto"/>
      </w:pPr>
    </w:p>
    <w:p>
      <w:pPr>
        <w:bidi w:val="0"/>
        <w:ind w:firstLine="420" w:firstLineChars="0"/>
      </w:pPr>
      <w:r>
        <w:t>2 学生培训工作</w:t>
      </w:r>
    </w:p>
    <w:p>
      <w:pPr>
        <w:bidi w:val="0"/>
        <w:ind w:firstLine="420" w:firstLineChars="0"/>
        <w:rPr>
          <w:lang w:eastAsia="zh-CN"/>
        </w:rPr>
      </w:pPr>
      <w:r>
        <w:rPr>
          <w:lang w:eastAsia="zh-CN"/>
        </w:rPr>
        <w:t>鸿鑫“双创精英班 ”所开设的企业课程，将通过过程性考核方式、理论考试并结合实战运营成果考核的方式进行，其中过程性考核占 40%，理论考试占40%，实战运营成果占比 20%，在学生培训学习过程中，将建立学生考核档案，严格按照学校教学管理要求进行考核。</w:t>
      </w:r>
    </w:p>
    <w:p>
      <w:pPr>
        <w:bidi w:val="0"/>
        <w:ind w:firstLine="420" w:firstLineChars="0"/>
        <w:rPr>
          <w:lang w:eastAsia="zh-CN"/>
        </w:rPr>
      </w:pPr>
      <w:r>
        <w:rPr>
          <w:lang w:eastAsia="zh-CN"/>
        </w:rPr>
        <w:t>3. 师资情况</w:t>
      </w:r>
    </w:p>
    <w:p>
      <w:pPr>
        <w:bidi w:val="0"/>
        <w:ind w:firstLine="420" w:firstLineChars="0"/>
        <w:rPr>
          <w:lang w:eastAsia="zh-CN"/>
        </w:rPr>
      </w:pPr>
      <w:r>
        <w:rPr>
          <w:lang w:eastAsia="zh-CN"/>
        </w:rPr>
        <w:t>双创精英班师资来自南通金红印花数码科技有限公司，厦门纽客云科技服务有限公司与校友企业南京鸿鑫出海电子商务有限公司，其中南通金红印花数码科技有限公司年销售额达到 20 亿，厦门纽客云科技服务有限公司年营业额达到 5 亿,以上三家企业为专门从事家纺供应链和跨境电商运营的企业，拥有成熟的市场开发与管理经验，在跨境电商运营方面积累了丰富的经验。</w:t>
      </w:r>
    </w:p>
    <w:p>
      <w:pPr>
        <w:pStyle w:val="2"/>
        <w:bidi w:val="0"/>
        <w:rPr>
          <w:lang w:eastAsia="zh-CN"/>
        </w:rPr>
      </w:pPr>
      <w:bookmarkStart w:id="4" w:name="_Toc7841"/>
      <w:r>
        <w:rPr>
          <w:lang w:eastAsia="zh-CN"/>
        </w:rPr>
        <w:t>五、助推企业发展情况</w:t>
      </w:r>
      <w:bookmarkEnd w:id="4"/>
    </w:p>
    <w:p>
      <w:pPr>
        <w:bidi w:val="0"/>
        <w:ind w:firstLine="420" w:firstLineChars="0"/>
      </w:pPr>
      <w:r>
        <w:rPr>
          <w:lang w:eastAsia="zh-CN"/>
        </w:rPr>
        <w:t>鸿鑫出海目前已经在宿迁市沭阳县、盐城市建湖县、淮安市洪泽区等多地的商务局的指导下，开展多次跨境电商培训，服务企业超 200 余家。 2023 年 9 月 4 日在学校指导下参加了人社厅关于劳务品牌技能研修班跨境电商板块的讲</w:t>
      </w:r>
      <w:r>
        <w:t>解授课。</w:t>
      </w:r>
    </w:p>
    <w:p>
      <w:pPr>
        <w:bidi w:val="0"/>
        <w:jc w:val="center"/>
      </w:pPr>
      <w:r>
        <w:rPr>
          <w:position w:val="-143"/>
        </w:rPr>
        <w:drawing>
          <wp:inline distT="0" distB="0" distL="0" distR="0">
            <wp:extent cx="3851910" cy="3373120"/>
            <wp:effectExtent l="0" t="0" r="15240" b="1778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1"/>
                    <a:stretch>
                      <a:fillRect/>
                    </a:stretch>
                  </pic:blipFill>
                  <pic:spPr>
                    <a:xfrm>
                      <a:off x="0" y="0"/>
                      <a:ext cx="3851910" cy="3373120"/>
                    </a:xfrm>
                    <a:prstGeom prst="rect">
                      <a:avLst/>
                    </a:prstGeom>
                  </pic:spPr>
                </pic:pic>
              </a:graphicData>
            </a:graphic>
          </wp:inline>
        </w:drawing>
      </w:r>
    </w:p>
    <w:p>
      <w:pPr>
        <w:bidi w:val="0"/>
        <w:jc w:val="center"/>
        <w:rPr>
          <w:lang w:eastAsia="zh-CN"/>
        </w:rPr>
      </w:pPr>
      <w:r>
        <w:rPr>
          <w:lang w:eastAsia="zh-CN"/>
        </w:rPr>
        <w:t>淮安市洪泽区跨境电商培训班</w:t>
      </w:r>
    </w:p>
    <w:p>
      <w:pPr>
        <w:pStyle w:val="2"/>
        <w:bidi w:val="0"/>
        <w:rPr>
          <w:lang w:eastAsia="zh-CN"/>
        </w:rPr>
      </w:pPr>
      <w:bookmarkStart w:id="5" w:name="_Toc13952"/>
      <w:r>
        <w:rPr>
          <w:lang w:eastAsia="zh-CN"/>
        </w:rPr>
        <w:t>六、服务地方</w:t>
      </w:r>
      <w:bookmarkEnd w:id="5"/>
    </w:p>
    <w:p>
      <w:pPr>
        <w:bidi w:val="0"/>
        <w:ind w:firstLine="420" w:firstLineChars="0"/>
        <w:rPr>
          <w:lang w:eastAsia="zh-CN"/>
        </w:rPr>
      </w:pPr>
      <w:r>
        <w:rPr>
          <w:lang w:eastAsia="zh-CN"/>
        </w:rPr>
        <w:t>在做好人才培养的同时，非常重视为社会和企业开展教育培训服务、技术服务在东南亚跨境电商培训上课人次天，以 10000 人次天／年为目标。</w:t>
      </w:r>
    </w:p>
    <w:p>
      <w:pPr>
        <w:spacing w:before="1" w:line="10345" w:lineRule="exact"/>
      </w:pPr>
      <w:r>
        <w:rPr>
          <w:position w:val="-206"/>
        </w:rPr>
        <w:drawing>
          <wp:inline distT="0" distB="0" distL="0" distR="0">
            <wp:extent cx="5273675" cy="6569075"/>
            <wp:effectExtent l="0" t="0" r="3175" b="3175"/>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2"/>
                    <a:stretch>
                      <a:fillRect/>
                    </a:stretch>
                  </pic:blipFill>
                  <pic:spPr>
                    <a:xfrm>
                      <a:off x="0" y="0"/>
                      <a:ext cx="5274309" cy="6569075"/>
                    </a:xfrm>
                    <a:prstGeom prst="rect">
                      <a:avLst/>
                    </a:prstGeom>
                  </pic:spPr>
                </pic:pic>
              </a:graphicData>
            </a:graphic>
          </wp:inline>
        </w:drawing>
      </w:r>
    </w:p>
    <w:p>
      <w:pPr>
        <w:bidi w:val="0"/>
        <w:jc w:val="center"/>
        <w:rPr>
          <w:lang w:eastAsia="zh-CN"/>
        </w:rPr>
      </w:pPr>
      <w:r>
        <w:rPr>
          <w:lang w:eastAsia="zh-CN"/>
        </w:rPr>
        <w:t>省人社厅劳务品牌技能研修班</w:t>
      </w:r>
    </w:p>
    <w:p>
      <w:pPr>
        <w:pStyle w:val="2"/>
        <w:bidi w:val="0"/>
        <w:rPr>
          <w:lang w:eastAsia="zh-CN"/>
        </w:rPr>
      </w:pPr>
      <w:bookmarkStart w:id="6" w:name="_Toc3438"/>
      <w:r>
        <w:rPr>
          <w:lang w:eastAsia="zh-CN"/>
        </w:rPr>
        <w:t>七、保障体系</w:t>
      </w:r>
      <w:bookmarkEnd w:id="6"/>
    </w:p>
    <w:p>
      <w:pPr>
        <w:bidi w:val="0"/>
        <w:ind w:firstLine="420" w:firstLineChars="0"/>
        <w:rPr>
          <w:lang w:eastAsia="zh-CN"/>
        </w:rPr>
      </w:pPr>
      <w:r>
        <w:rPr>
          <w:lang w:eastAsia="zh-CN"/>
        </w:rPr>
        <w:t>鸿鑫出海与我校签署战略合作协议，明确合作愿景及双方职责。学校保证人才培养质量，保证企业用人的优选权，为企业提供培训、技术等方面的支持。企业保证在设备、场地等条件上的支持及人员的支持，保证学生实训任务的安排。</w:t>
      </w:r>
    </w:p>
    <w:p>
      <w:pPr>
        <w:bidi w:val="0"/>
        <w:ind w:firstLine="420" w:firstLineChars="0"/>
        <w:rPr>
          <w:lang w:eastAsia="zh-CN"/>
        </w:rPr>
      </w:pPr>
      <w:r>
        <w:rPr>
          <w:lang w:eastAsia="zh-CN"/>
        </w:rPr>
        <w:t>为跨境电商运营中心的延续性，鸿鑫出海为南京工业职业技术大学跨境电商运营中心提供专业教师培训，海外仓储货源共享，主要分为以下几点：</w:t>
      </w:r>
    </w:p>
    <w:p>
      <w:pPr>
        <w:bidi w:val="0"/>
        <w:ind w:firstLine="420" w:firstLineChars="0"/>
        <w:rPr>
          <w:lang w:eastAsia="zh-CN"/>
        </w:rPr>
      </w:pPr>
      <w:r>
        <w:rPr>
          <w:lang w:eastAsia="zh-CN"/>
        </w:rPr>
        <w:t>1、持续性教师培训：</w:t>
      </w:r>
    </w:p>
    <w:p>
      <w:pPr>
        <w:bidi w:val="0"/>
        <w:ind w:firstLine="420" w:firstLineChars="0"/>
        <w:rPr>
          <w:lang w:eastAsia="zh-CN"/>
        </w:rPr>
      </w:pPr>
      <w:r>
        <w:rPr>
          <w:lang w:eastAsia="zh-CN"/>
        </w:rPr>
        <w:t>每年 1-2 次教师参与鸿鑫出海跨境项目；</w:t>
      </w:r>
    </w:p>
    <w:p>
      <w:pPr>
        <w:bidi w:val="0"/>
        <w:ind w:firstLine="420" w:firstLineChars="0"/>
        <w:rPr>
          <w:lang w:eastAsia="zh-CN"/>
        </w:rPr>
      </w:pPr>
      <w:r>
        <w:rPr>
          <w:lang w:eastAsia="zh-CN"/>
        </w:rPr>
        <w:t>参与跨境电商行业年度重点会议（跨交会）；</w:t>
      </w:r>
    </w:p>
    <w:p>
      <w:pPr>
        <w:bidi w:val="0"/>
        <w:ind w:firstLine="420" w:firstLineChars="0"/>
        <w:rPr>
          <w:lang w:eastAsia="zh-CN"/>
        </w:rPr>
      </w:pPr>
      <w:r>
        <w:rPr>
          <w:lang w:eastAsia="zh-CN"/>
        </w:rPr>
        <w:t>派遣年销售额不低于 2000 万实战运营导师参与学生综合作业；</w:t>
      </w:r>
    </w:p>
    <w:p>
      <w:pPr>
        <w:bidi w:val="0"/>
        <w:ind w:firstLine="420" w:firstLineChars="0"/>
        <w:rPr>
          <w:lang w:eastAsia="zh-CN"/>
        </w:rPr>
      </w:pPr>
      <w:r>
        <w:rPr>
          <w:lang w:eastAsia="zh-CN"/>
        </w:rPr>
        <w:t>2、海外仓储货源共享：</w:t>
      </w:r>
    </w:p>
    <w:p>
      <w:pPr>
        <w:bidi w:val="0"/>
        <w:ind w:firstLine="420" w:firstLineChars="0"/>
        <w:rPr>
          <w:lang w:eastAsia="zh-CN"/>
        </w:rPr>
      </w:pPr>
      <w:r>
        <w:rPr>
          <w:lang w:eastAsia="zh-CN"/>
        </w:rPr>
        <w:t>马来西亚、泰国、越南、菲律宾超 30000 平自建海外仓储提供海外仓储头程物流配套运输、海外货盘实时动态分享。</w:t>
      </w:r>
    </w:p>
    <w:p>
      <w:pPr>
        <w:pStyle w:val="2"/>
        <w:bidi w:val="0"/>
        <w:rPr>
          <w:lang w:eastAsia="zh-CN"/>
        </w:rPr>
      </w:pPr>
      <w:bookmarkStart w:id="7" w:name="_Toc13049"/>
      <w:r>
        <w:rPr>
          <w:lang w:eastAsia="zh-CN"/>
        </w:rPr>
        <w:t>八、问题与展望</w:t>
      </w:r>
      <w:bookmarkEnd w:id="7"/>
    </w:p>
    <w:p>
      <w:pPr>
        <w:bidi w:val="0"/>
        <w:ind w:firstLine="420" w:firstLineChars="0"/>
        <w:rPr>
          <w:lang w:eastAsia="zh-CN"/>
        </w:rPr>
      </w:pPr>
      <w:r>
        <w:rPr>
          <w:lang w:eastAsia="zh-CN"/>
        </w:rPr>
        <w:t>为企业输送可用的人才以及科研成果是高校在产业升级中必须肩负的使命。南京工业职业技术大学与鸿鑫出海共建跨境电商运营中心、 Wina 家纺跨境直播基地、柬埔寨柬华应用技术大学孔子学院家纺直播基地，可为地区南京市跨境电商产业升级带来如下的两点优势：</w:t>
      </w:r>
    </w:p>
    <w:p>
      <w:pPr>
        <w:bidi w:val="0"/>
        <w:ind w:firstLine="420" w:firstLineChars="0"/>
        <w:rPr>
          <w:lang w:eastAsia="zh-CN"/>
        </w:rPr>
      </w:pPr>
      <w:r>
        <w:rPr>
          <w:lang w:eastAsia="zh-CN"/>
        </w:rPr>
        <w:t>依托“跨境电商运营中心 ”，让企业系统性的了解跨境电商运营注意事项，更好的从事跨境电商事业。</w:t>
      </w:r>
    </w:p>
    <w:p>
      <w:pPr>
        <w:bidi w:val="0"/>
        <w:ind w:firstLine="420" w:firstLineChars="0"/>
        <w:rPr>
          <w:lang w:eastAsia="zh-CN"/>
        </w:rPr>
      </w:pPr>
      <w:r>
        <w:rPr>
          <w:lang w:eastAsia="zh-CN"/>
        </w:rPr>
        <w:t>依托“跨境电商运营中心 ”，培养一批具备实战性跨境电商高级运营人才，培育南京跨境电商运营新风向。</w:t>
      </w:r>
    </w:p>
    <w:sectPr>
      <w:footerReference r:id="rId5" w:type="default"/>
      <w:pgSz w:w="11907" w:h="16839"/>
      <w:pgMar w:top="1440" w:right="1800" w:bottom="1440" w:left="1800" w:header="0" w:footer="0"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2Q0NzI5OGExYTVlMTM4MjdiYTM0NzM3NDNhOGQ3YzUifQ=="/>
  </w:docVars>
  <w:rsids>
    <w:rsidRoot w:val="001E009C"/>
    <w:rsid w:val="001E009C"/>
    <w:rsid w:val="00633A85"/>
    <w:rsid w:val="00DF6938"/>
    <w:rsid w:val="00F513FD"/>
    <w:rsid w:val="00F52A63"/>
    <w:rsid w:val="023F113E"/>
    <w:rsid w:val="2DCA2A28"/>
    <w:rsid w:val="310A39F0"/>
    <w:rsid w:val="31FF1712"/>
    <w:rsid w:val="37712A8A"/>
    <w:rsid w:val="3FBE763B"/>
    <w:rsid w:val="4BAE2601"/>
    <w:rsid w:val="51695F30"/>
    <w:rsid w:val="56AA3DFF"/>
    <w:rsid w:val="5B4A5024"/>
    <w:rsid w:val="612400C6"/>
    <w:rsid w:val="65CE23AE"/>
    <w:rsid w:val="6D1217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wordWrap w:val="0"/>
      <w:autoSpaceDE/>
      <w:autoSpaceDN/>
      <w:adjustRightInd/>
      <w:snapToGrid/>
      <w:spacing w:line="360" w:lineRule="auto"/>
      <w:jc w:val="both"/>
      <w:textAlignment w:val="baseline"/>
    </w:pPr>
    <w:rPr>
      <w:rFonts w:ascii="Times New Roman" w:hAnsi="Times New Roman" w:eastAsia="宋体" w:cs="Arial"/>
      <w:snapToGrid w:val="0"/>
      <w:color w:val="000000"/>
      <w:sz w:val="24"/>
      <w:szCs w:val="21"/>
      <w:lang w:val="en-US" w:eastAsia="en-US" w:bidi="ar-SA"/>
    </w:rPr>
  </w:style>
  <w:style w:type="paragraph" w:styleId="2">
    <w:name w:val="heading 1"/>
    <w:basedOn w:val="1"/>
    <w:next w:val="1"/>
    <w:qFormat/>
    <w:uiPriority w:val="0"/>
    <w:pPr>
      <w:keepNext/>
      <w:keepLines/>
      <w:spacing w:before="120" w:beforeLines="0" w:beforeAutospacing="0" w:after="120" w:afterLines="0" w:afterAutospacing="0" w:line="360" w:lineRule="auto"/>
      <w:jc w:val="both"/>
      <w:outlineLvl w:val="0"/>
    </w:pPr>
    <w:rPr>
      <w:rFonts w:ascii="Arial" w:hAnsi="Arial" w:eastAsia="宋体"/>
      <w:b/>
      <w:kern w:val="44"/>
      <w:sz w:val="28"/>
    </w:rPr>
  </w:style>
  <w:style w:type="paragraph" w:styleId="3">
    <w:name w:val="heading 2"/>
    <w:basedOn w:val="1"/>
    <w:next w:val="1"/>
    <w:semiHidden/>
    <w:unhideWhenUsed/>
    <w:qFormat/>
    <w:uiPriority w:val="0"/>
    <w:pPr>
      <w:keepNext/>
      <w:keepLines/>
      <w:spacing w:beforeLines="0" w:beforeAutospacing="0" w:afterLines="0" w:afterAutospacing="0" w:line="420" w:lineRule="auto"/>
      <w:jc w:val="both"/>
      <w:outlineLvl w:val="1"/>
    </w:pPr>
    <w:rPr>
      <w:rFonts w:ascii="Arial" w:hAnsi="Arial" w:eastAsia="宋体"/>
      <w:b/>
      <w:sz w:val="24"/>
    </w:rPr>
  </w:style>
  <w:style w:type="character" w:default="1" w:styleId="9">
    <w:name w:val="Default Paragraph Font"/>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ody Text"/>
    <w:basedOn w:val="1"/>
    <w:autoRedefine/>
    <w:qFormat/>
    <w:uiPriority w:val="0"/>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uiPriority w:val="0"/>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Table Text"/>
    <w:basedOn w:val="1"/>
    <w:autoRedefine/>
    <w:semiHidden/>
    <w:qFormat/>
    <w:uiPriority w:val="0"/>
    <w:rPr>
      <w:rFonts w:ascii="华文仿宋" w:hAnsi="华文仿宋" w:eastAsia="华文仿宋" w:cs="华文仿宋"/>
      <w:sz w:val="24"/>
      <w:szCs w:val="24"/>
    </w:rPr>
  </w:style>
  <w:style w:type="paragraph" w:customStyle="1" w:styleId="12">
    <w:name w:val="WPSOffice手动目录 1"/>
    <w:uiPriority w:val="0"/>
    <w:pPr>
      <w:ind w:leftChars="0"/>
    </w:pPr>
    <w:rPr>
      <w:sz w:val="20"/>
      <w:szCs w:val="20"/>
    </w:rPr>
  </w:style>
  <w:style w:type="paragraph" w:customStyle="1" w:styleId="13">
    <w:name w:val="WPSOffice手动目录 2"/>
    <w:uiPriority w:val="0"/>
    <w:pPr>
      <w:ind w:leftChars="2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494</Words>
  <Characters>2820</Characters>
  <Lines>23</Lines>
  <Paragraphs>6</Paragraphs>
  <TotalTime>16</TotalTime>
  <ScaleCrop>false</ScaleCrop>
  <LinksUpToDate>false</LinksUpToDate>
  <CharactersWithSpaces>3308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2023-12-04T17:09:00Z</dcterms:created>
  <dc:creator>qiao luo</dc:creator>
  <cp:lastModifiedBy>光明</cp:lastModifiedBy>
  <dcterms:modified xsi:type="dcterms:W3CDTF">2024-01-13T07:12:30Z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2024-01-08T15:42:10Z</vt:filetime>
  </property>
  <property fmtid="{D5CDD505-2E9C-101B-9397-08002B2CF9AE}" pid="4" name="KSOProductBuildVer">
    <vt:lpwstr>2052-12.1.0.16120</vt:lpwstr>
  </property>
  <property fmtid="{D5CDD505-2E9C-101B-9397-08002B2CF9AE}" pid="5" name="ICV">
    <vt:lpwstr>1E80A3CD296F46CF8A349353AF0FD15A_13</vt:lpwstr>
  </property>
</Properties>
</file>