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553" w:rsidRDefault="0090194B">
      <w:pPr>
        <w:widowControl/>
        <w:spacing w:line="360" w:lineRule="auto"/>
        <w:jc w:val="center"/>
        <w:rPr>
          <w:rFonts w:ascii="宋体" w:eastAsia="宋体" w:hAnsi="宋体" w:cs="宋体"/>
          <w:b/>
          <w:bCs/>
          <w:color w:val="222222"/>
          <w:kern w:val="0"/>
          <w:sz w:val="32"/>
          <w:szCs w:val="32"/>
        </w:rPr>
      </w:pPr>
      <w:r>
        <w:rPr>
          <w:rFonts w:ascii="宋体" w:eastAsia="宋体" w:hAnsi="宋体" w:cs="宋体"/>
          <w:b/>
          <w:bCs/>
          <w:noProof/>
          <w:color w:val="222222"/>
          <w:kern w:val="0"/>
          <w:sz w:val="32"/>
          <w:szCs w:val="32"/>
        </w:rPr>
        <w:drawing>
          <wp:inline distT="0" distB="0" distL="0" distR="0">
            <wp:extent cx="5812155" cy="8157210"/>
            <wp:effectExtent l="0" t="0" r="0" b="0"/>
            <wp:docPr id="1525742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42036"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814718" cy="8160921"/>
                    </a:xfrm>
                    <a:prstGeom prst="rect">
                      <a:avLst/>
                    </a:prstGeom>
                    <a:noFill/>
                    <a:ln>
                      <a:noFill/>
                    </a:ln>
                  </pic:spPr>
                </pic:pic>
              </a:graphicData>
            </a:graphic>
          </wp:inline>
        </w:drawing>
      </w:r>
    </w:p>
    <w:p w:rsidR="009D50E8" w:rsidRDefault="009D50E8">
      <w:pPr>
        <w:spacing w:after="0" w:line="240" w:lineRule="auto"/>
        <w:jc w:val="center"/>
        <w:rPr>
          <w:rFonts w:ascii="宋体" w:eastAsia="宋体" w:hAnsi="宋体" w:cs="宋体"/>
          <w:b/>
          <w:bCs/>
          <w:color w:val="222222"/>
          <w:kern w:val="0"/>
          <w:sz w:val="32"/>
          <w:szCs w:val="32"/>
        </w:rPr>
      </w:pPr>
    </w:p>
    <w:sdt>
      <w:sdtPr>
        <w:rPr>
          <w:rFonts w:ascii="宋体" w:eastAsia="宋体" w:hAnsi="宋体" w:cs="宋体" w:hint="eastAsia"/>
          <w:b/>
          <w:bCs/>
          <w:sz w:val="30"/>
          <w:szCs w:val="30"/>
        </w:rPr>
        <w:id w:val="147456711"/>
        <w15:color w:val="DBDBDB"/>
        <w:docPartObj>
          <w:docPartGallery w:val="Table of Contents"/>
          <w:docPartUnique/>
        </w:docPartObj>
      </w:sdtPr>
      <w:sdtEndPr>
        <w:rPr>
          <w:color w:val="222222"/>
          <w:kern w:val="0"/>
          <w:sz w:val="21"/>
          <w:szCs w:val="32"/>
        </w:rPr>
      </w:sdtEndPr>
      <w:sdtContent>
        <w:p w:rsidR="00797553" w:rsidRDefault="0090194B" w:rsidP="009D50E8">
          <w:pPr>
            <w:widowControl/>
            <w:spacing w:after="0" w:line="240" w:lineRule="auto"/>
            <w:jc w:val="center"/>
            <w:rPr>
              <w:rFonts w:ascii="宋体" w:eastAsia="宋体" w:hAnsi="宋体" w:cs="宋体"/>
              <w:b/>
              <w:bCs/>
              <w:sz w:val="30"/>
              <w:szCs w:val="30"/>
            </w:rPr>
          </w:pPr>
          <w:r>
            <w:rPr>
              <w:rFonts w:ascii="宋体" w:eastAsia="宋体" w:hAnsi="宋体" w:cs="宋体" w:hint="eastAsia"/>
              <w:b/>
              <w:bCs/>
              <w:sz w:val="30"/>
              <w:szCs w:val="30"/>
            </w:rPr>
            <w:t>目  录</w:t>
          </w:r>
        </w:p>
        <w:p w:rsidR="00797553" w:rsidRDefault="0090194B">
          <w:pPr>
            <w:pStyle w:val="WPSOffice1"/>
            <w:tabs>
              <w:tab w:val="right" w:leader="dot" w:pos="8306"/>
            </w:tabs>
            <w:rPr>
              <w:rFonts w:ascii="宋体" w:eastAsia="宋体" w:hAnsi="宋体" w:cs="宋体"/>
              <w:sz w:val="30"/>
              <w:szCs w:val="30"/>
            </w:rPr>
          </w:pPr>
          <w:r>
            <w:rPr>
              <w:rFonts w:ascii="宋体" w:eastAsia="宋体" w:hAnsi="宋体" w:cs="宋体" w:hint="eastAsia"/>
              <w:b/>
              <w:bCs/>
              <w:color w:val="222222"/>
              <w:sz w:val="30"/>
              <w:szCs w:val="30"/>
            </w:rPr>
            <w:fldChar w:fldCharType="begin"/>
          </w:r>
          <w:r>
            <w:rPr>
              <w:rFonts w:ascii="宋体" w:eastAsia="宋体" w:hAnsi="宋体" w:cs="宋体" w:hint="eastAsia"/>
              <w:b/>
              <w:bCs/>
              <w:color w:val="222222"/>
              <w:sz w:val="30"/>
              <w:szCs w:val="30"/>
            </w:rPr>
            <w:instrText xml:space="preserve">TOC \o "1-1" \h \u </w:instrText>
          </w:r>
          <w:r>
            <w:rPr>
              <w:rFonts w:ascii="宋体" w:eastAsia="宋体" w:hAnsi="宋体" w:cs="宋体" w:hint="eastAsia"/>
              <w:b/>
              <w:bCs/>
              <w:color w:val="222222"/>
              <w:sz w:val="30"/>
              <w:szCs w:val="30"/>
            </w:rPr>
            <w:fldChar w:fldCharType="separate"/>
          </w:r>
          <w:hyperlink w:anchor="_Toc22419" w:history="1">
            <w:r>
              <w:rPr>
                <w:rFonts w:ascii="宋体" w:eastAsia="宋体" w:hAnsi="宋体" w:cs="宋体" w:hint="eastAsia"/>
                <w:sz w:val="30"/>
                <w:szCs w:val="30"/>
              </w:rPr>
              <w:t>一、</w:t>
            </w:r>
            <w:r w:rsidR="009D50E8">
              <w:rPr>
                <w:rFonts w:ascii="宋体" w:eastAsia="宋体" w:hAnsi="宋体" w:cs="宋体" w:hint="eastAsia"/>
                <w:sz w:val="30"/>
                <w:szCs w:val="30"/>
              </w:rPr>
              <w:t>企业</w:t>
            </w:r>
            <w:r>
              <w:rPr>
                <w:rFonts w:ascii="宋体" w:eastAsia="宋体" w:hAnsi="宋体" w:cs="宋体" w:hint="eastAsia"/>
                <w:sz w:val="30"/>
                <w:szCs w:val="30"/>
              </w:rPr>
              <w:t>概况</w:t>
            </w:r>
            <w:r>
              <w:rPr>
                <w:rFonts w:ascii="宋体" w:eastAsia="宋体" w:hAnsi="宋体" w:cs="宋体" w:hint="eastAsia"/>
                <w:sz w:val="30"/>
                <w:szCs w:val="30"/>
              </w:rPr>
              <w:tab/>
            </w:r>
            <w:r w:rsidR="009D50E8">
              <w:rPr>
                <w:rFonts w:ascii="宋体" w:eastAsia="宋体" w:hAnsi="宋体" w:cs="宋体"/>
                <w:sz w:val="30"/>
                <w:szCs w:val="30"/>
              </w:rPr>
              <w:t>3</w:t>
            </w:r>
          </w:hyperlink>
        </w:p>
        <w:p w:rsidR="00797553" w:rsidRDefault="00240699">
          <w:pPr>
            <w:pStyle w:val="WPSOffice1"/>
            <w:tabs>
              <w:tab w:val="right" w:leader="dot" w:pos="8306"/>
            </w:tabs>
            <w:rPr>
              <w:rFonts w:ascii="宋体" w:eastAsia="宋体" w:hAnsi="宋体" w:cs="宋体"/>
              <w:sz w:val="30"/>
              <w:szCs w:val="30"/>
            </w:rPr>
          </w:pPr>
          <w:hyperlink w:anchor="_Toc32108" w:history="1">
            <w:r w:rsidR="009D50E8">
              <w:rPr>
                <w:rFonts w:ascii="宋体" w:eastAsia="宋体" w:hAnsi="宋体" w:cs="宋体" w:hint="eastAsia"/>
                <w:bCs/>
                <w:sz w:val="30"/>
                <w:szCs w:val="30"/>
              </w:rPr>
              <w:t>二</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参与办学情况</w:t>
            </w:r>
            <w:r w:rsidR="0090194B">
              <w:rPr>
                <w:rFonts w:ascii="宋体" w:eastAsia="宋体" w:hAnsi="宋体" w:cs="宋体" w:hint="eastAsia"/>
                <w:sz w:val="30"/>
                <w:szCs w:val="30"/>
              </w:rPr>
              <w:tab/>
            </w:r>
            <w:r w:rsidR="009D50E8">
              <w:rPr>
                <w:rFonts w:ascii="宋体" w:eastAsia="宋体" w:hAnsi="宋体" w:cs="宋体"/>
                <w:sz w:val="30"/>
                <w:szCs w:val="30"/>
              </w:rPr>
              <w:t>3</w:t>
            </w:r>
          </w:hyperlink>
        </w:p>
        <w:p w:rsidR="00797553" w:rsidRDefault="00240699">
          <w:pPr>
            <w:pStyle w:val="WPSOffice1"/>
            <w:tabs>
              <w:tab w:val="right" w:leader="dot" w:pos="8306"/>
            </w:tabs>
            <w:rPr>
              <w:rFonts w:ascii="宋体" w:eastAsia="宋体" w:hAnsi="宋体" w:cs="宋体"/>
              <w:sz w:val="30"/>
              <w:szCs w:val="30"/>
            </w:rPr>
          </w:pPr>
          <w:hyperlink w:anchor="_Toc15429" w:history="1">
            <w:r w:rsidR="009D50E8">
              <w:rPr>
                <w:rFonts w:ascii="宋体" w:eastAsia="宋体" w:hAnsi="宋体" w:cs="宋体" w:hint="eastAsia"/>
                <w:bCs/>
                <w:sz w:val="30"/>
                <w:szCs w:val="30"/>
              </w:rPr>
              <w:t>三</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资源投入情况</w:t>
            </w:r>
            <w:r w:rsidR="0090194B">
              <w:rPr>
                <w:rFonts w:ascii="宋体" w:eastAsia="宋体" w:hAnsi="宋体" w:cs="宋体" w:hint="eastAsia"/>
                <w:sz w:val="30"/>
                <w:szCs w:val="30"/>
              </w:rPr>
              <w:tab/>
            </w:r>
            <w:r w:rsidR="009D50E8">
              <w:rPr>
                <w:rFonts w:ascii="宋体" w:eastAsia="宋体" w:hAnsi="宋体" w:cs="宋体"/>
                <w:sz w:val="30"/>
                <w:szCs w:val="30"/>
              </w:rPr>
              <w:t>4</w:t>
            </w:r>
          </w:hyperlink>
        </w:p>
        <w:p w:rsidR="00797553" w:rsidRDefault="00240699">
          <w:pPr>
            <w:pStyle w:val="WPSOffice1"/>
            <w:tabs>
              <w:tab w:val="right" w:leader="dot" w:pos="8306"/>
            </w:tabs>
            <w:rPr>
              <w:rFonts w:ascii="宋体" w:eastAsia="宋体" w:hAnsi="宋体" w:cs="宋体"/>
              <w:sz w:val="30"/>
              <w:szCs w:val="30"/>
            </w:rPr>
          </w:pPr>
          <w:hyperlink w:anchor="_Toc4346" w:history="1">
            <w:r w:rsidR="009D50E8">
              <w:rPr>
                <w:rFonts w:ascii="宋体" w:eastAsia="宋体" w:hAnsi="宋体" w:cs="宋体" w:hint="eastAsia"/>
                <w:bCs/>
                <w:sz w:val="30"/>
                <w:szCs w:val="30"/>
              </w:rPr>
              <w:t>四</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参与教学情况</w:t>
            </w:r>
            <w:r w:rsidR="0090194B">
              <w:rPr>
                <w:rFonts w:ascii="宋体" w:eastAsia="宋体" w:hAnsi="宋体" w:cs="宋体" w:hint="eastAsia"/>
                <w:sz w:val="30"/>
                <w:szCs w:val="30"/>
              </w:rPr>
              <w:tab/>
            </w:r>
            <w:r w:rsidR="009D50E8">
              <w:rPr>
                <w:rFonts w:ascii="宋体" w:eastAsia="宋体" w:hAnsi="宋体" w:cs="宋体"/>
                <w:sz w:val="30"/>
                <w:szCs w:val="30"/>
              </w:rPr>
              <w:t>5</w:t>
            </w:r>
          </w:hyperlink>
        </w:p>
        <w:p w:rsidR="00797553" w:rsidRDefault="00240699">
          <w:pPr>
            <w:pStyle w:val="WPSOffice1"/>
            <w:tabs>
              <w:tab w:val="right" w:leader="dot" w:pos="8306"/>
            </w:tabs>
            <w:rPr>
              <w:rFonts w:ascii="宋体" w:eastAsia="宋体" w:hAnsi="宋体" w:cs="宋体"/>
              <w:sz w:val="30"/>
              <w:szCs w:val="30"/>
            </w:rPr>
          </w:pPr>
          <w:hyperlink w:anchor="_Toc14288" w:history="1">
            <w:r w:rsidR="009D50E8">
              <w:rPr>
                <w:rFonts w:ascii="宋体" w:eastAsia="宋体" w:hAnsi="宋体" w:cs="宋体" w:hint="eastAsia"/>
                <w:bCs/>
                <w:sz w:val="30"/>
                <w:szCs w:val="30"/>
              </w:rPr>
              <w:t>五</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助推企业发展情况</w:t>
            </w:r>
            <w:r w:rsidR="0090194B">
              <w:rPr>
                <w:rFonts w:ascii="宋体" w:eastAsia="宋体" w:hAnsi="宋体" w:cs="宋体" w:hint="eastAsia"/>
                <w:sz w:val="30"/>
                <w:szCs w:val="30"/>
              </w:rPr>
              <w:tab/>
            </w:r>
            <w:r w:rsidR="009D50E8">
              <w:rPr>
                <w:rFonts w:ascii="宋体" w:eastAsia="宋体" w:hAnsi="宋体" w:cs="宋体"/>
                <w:sz w:val="30"/>
                <w:szCs w:val="30"/>
              </w:rPr>
              <w:t>5</w:t>
            </w:r>
          </w:hyperlink>
        </w:p>
        <w:p w:rsidR="00797553" w:rsidRDefault="00240699">
          <w:pPr>
            <w:pStyle w:val="WPSOffice1"/>
            <w:tabs>
              <w:tab w:val="right" w:leader="dot" w:pos="8306"/>
            </w:tabs>
            <w:rPr>
              <w:rFonts w:ascii="宋体" w:eastAsia="宋体" w:hAnsi="宋体" w:cs="宋体"/>
              <w:sz w:val="30"/>
              <w:szCs w:val="30"/>
            </w:rPr>
          </w:pPr>
          <w:hyperlink w:anchor="_Toc2655" w:history="1">
            <w:r w:rsidR="009D50E8">
              <w:rPr>
                <w:rFonts w:ascii="宋体" w:eastAsia="宋体" w:hAnsi="宋体" w:cs="宋体" w:hint="eastAsia"/>
                <w:bCs/>
                <w:sz w:val="30"/>
                <w:szCs w:val="30"/>
              </w:rPr>
              <w:t>六</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服务地方</w:t>
            </w:r>
            <w:r w:rsidR="0090194B">
              <w:rPr>
                <w:rFonts w:ascii="宋体" w:eastAsia="宋体" w:hAnsi="宋体" w:cs="宋体" w:hint="eastAsia"/>
                <w:sz w:val="30"/>
                <w:szCs w:val="30"/>
              </w:rPr>
              <w:tab/>
            </w:r>
            <w:r w:rsidR="009D50E8">
              <w:rPr>
                <w:rFonts w:ascii="宋体" w:eastAsia="宋体" w:hAnsi="宋体" w:cs="宋体"/>
                <w:sz w:val="30"/>
                <w:szCs w:val="30"/>
              </w:rPr>
              <w:t>6</w:t>
            </w:r>
          </w:hyperlink>
        </w:p>
        <w:p w:rsidR="00797553" w:rsidRDefault="00240699">
          <w:pPr>
            <w:pStyle w:val="WPSOffice1"/>
            <w:tabs>
              <w:tab w:val="right" w:leader="dot" w:pos="8306"/>
            </w:tabs>
            <w:rPr>
              <w:rFonts w:ascii="宋体" w:eastAsia="宋体" w:hAnsi="宋体" w:cs="宋体"/>
              <w:sz w:val="30"/>
              <w:szCs w:val="30"/>
            </w:rPr>
          </w:pPr>
          <w:hyperlink w:anchor="_Toc23468" w:history="1">
            <w:r w:rsidR="009D50E8">
              <w:rPr>
                <w:rFonts w:ascii="宋体" w:eastAsia="宋体" w:hAnsi="宋体" w:cs="宋体" w:hint="eastAsia"/>
                <w:bCs/>
                <w:sz w:val="30"/>
                <w:szCs w:val="30"/>
              </w:rPr>
              <w:t>七</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保障体系</w:t>
            </w:r>
            <w:r w:rsidR="0090194B">
              <w:rPr>
                <w:rFonts w:ascii="宋体" w:eastAsia="宋体" w:hAnsi="宋体" w:cs="宋体" w:hint="eastAsia"/>
                <w:sz w:val="30"/>
                <w:szCs w:val="30"/>
              </w:rPr>
              <w:tab/>
            </w:r>
            <w:r w:rsidR="009D50E8">
              <w:rPr>
                <w:rFonts w:ascii="宋体" w:eastAsia="宋体" w:hAnsi="宋体" w:cs="宋体"/>
                <w:sz w:val="30"/>
                <w:szCs w:val="30"/>
              </w:rPr>
              <w:t>6</w:t>
            </w:r>
          </w:hyperlink>
        </w:p>
        <w:p w:rsidR="00797553" w:rsidRDefault="00240699">
          <w:pPr>
            <w:pStyle w:val="WPSOffice1"/>
            <w:tabs>
              <w:tab w:val="right" w:leader="dot" w:pos="8306"/>
            </w:tabs>
            <w:rPr>
              <w:rFonts w:ascii="宋体" w:eastAsia="宋体" w:hAnsi="宋体" w:cs="宋体"/>
              <w:sz w:val="30"/>
              <w:szCs w:val="30"/>
            </w:rPr>
          </w:pPr>
          <w:hyperlink w:anchor="_Toc29255" w:history="1">
            <w:r w:rsidR="009D50E8">
              <w:rPr>
                <w:rFonts w:ascii="宋体" w:eastAsia="宋体" w:hAnsi="宋体" w:cs="宋体" w:hint="eastAsia"/>
                <w:bCs/>
                <w:sz w:val="30"/>
                <w:szCs w:val="30"/>
              </w:rPr>
              <w:t>八</w:t>
            </w:r>
            <w:r w:rsidR="0090194B">
              <w:rPr>
                <w:rFonts w:ascii="宋体" w:eastAsia="宋体" w:hAnsi="宋体" w:cs="宋体" w:hint="eastAsia"/>
                <w:bCs/>
                <w:sz w:val="30"/>
                <w:szCs w:val="30"/>
              </w:rPr>
              <w:t xml:space="preserve">、 </w:t>
            </w:r>
            <w:r w:rsidR="0090194B">
              <w:rPr>
                <w:rFonts w:ascii="宋体" w:eastAsia="宋体" w:hAnsi="宋体" w:cs="宋体" w:hint="eastAsia"/>
                <w:sz w:val="30"/>
                <w:szCs w:val="30"/>
              </w:rPr>
              <w:t>问题与展望</w:t>
            </w:r>
            <w:r w:rsidR="0090194B">
              <w:rPr>
                <w:rFonts w:ascii="宋体" w:eastAsia="宋体" w:hAnsi="宋体" w:cs="宋体" w:hint="eastAsia"/>
                <w:sz w:val="30"/>
                <w:szCs w:val="30"/>
              </w:rPr>
              <w:tab/>
            </w:r>
            <w:r w:rsidR="009D50E8">
              <w:rPr>
                <w:rFonts w:ascii="宋体" w:eastAsia="宋体" w:hAnsi="宋体" w:cs="宋体"/>
                <w:sz w:val="30"/>
                <w:szCs w:val="30"/>
              </w:rPr>
              <w:t>7</w:t>
            </w:r>
          </w:hyperlink>
        </w:p>
        <w:p w:rsidR="00797553" w:rsidRDefault="0090194B">
          <w:pPr>
            <w:widowControl/>
            <w:spacing w:after="0" w:line="240" w:lineRule="auto"/>
            <w:jc w:val="left"/>
            <w:rPr>
              <w:rFonts w:ascii="宋体" w:eastAsia="宋体" w:hAnsi="宋体" w:cs="宋体"/>
              <w:bCs/>
              <w:color w:val="222222"/>
              <w:kern w:val="0"/>
              <w:sz w:val="30"/>
              <w:szCs w:val="30"/>
            </w:rPr>
          </w:pPr>
          <w:r>
            <w:rPr>
              <w:rFonts w:ascii="宋体" w:eastAsia="宋体" w:hAnsi="宋体" w:cs="宋体" w:hint="eastAsia"/>
              <w:bCs/>
              <w:color w:val="222222"/>
              <w:kern w:val="0"/>
              <w:sz w:val="30"/>
              <w:szCs w:val="30"/>
            </w:rPr>
            <w:fldChar w:fldCharType="end"/>
          </w:r>
          <w:r>
            <w:rPr>
              <w:rFonts w:ascii="宋体" w:eastAsia="宋体" w:hAnsi="宋体" w:cs="宋体" w:hint="eastAsia"/>
              <w:bCs/>
              <w:color w:val="222222"/>
              <w:kern w:val="0"/>
              <w:sz w:val="30"/>
              <w:szCs w:val="30"/>
            </w:rPr>
            <w:br/>
          </w: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797553">
          <w:pPr>
            <w:widowControl/>
            <w:spacing w:after="0" w:line="240" w:lineRule="auto"/>
            <w:jc w:val="left"/>
            <w:rPr>
              <w:rFonts w:ascii="宋体" w:eastAsia="宋体" w:hAnsi="宋体" w:cs="宋体"/>
              <w:bCs/>
              <w:color w:val="222222"/>
              <w:kern w:val="0"/>
              <w:sz w:val="30"/>
              <w:szCs w:val="30"/>
            </w:rPr>
          </w:pPr>
        </w:p>
        <w:p w:rsidR="00797553" w:rsidRDefault="00240699">
          <w:pPr>
            <w:widowControl/>
            <w:spacing w:after="0" w:line="240" w:lineRule="auto"/>
            <w:jc w:val="left"/>
            <w:rPr>
              <w:rFonts w:ascii="宋体" w:eastAsia="宋体" w:hAnsi="宋体" w:cs="宋体"/>
              <w:b/>
              <w:bCs/>
              <w:color w:val="222222"/>
              <w:kern w:val="0"/>
              <w:sz w:val="32"/>
              <w:szCs w:val="32"/>
            </w:rPr>
          </w:pPr>
        </w:p>
      </w:sdtContent>
    </w:sdt>
    <w:p w:rsidR="009D50E8" w:rsidRDefault="009D50E8">
      <w:pPr>
        <w:widowControl/>
        <w:spacing w:after="0" w:line="240" w:lineRule="auto"/>
        <w:jc w:val="left"/>
        <w:rPr>
          <w:rFonts w:ascii="宋体" w:eastAsia="宋体" w:hAnsi="宋体"/>
          <w:b/>
          <w:bCs/>
          <w:kern w:val="44"/>
          <w:sz w:val="30"/>
          <w:szCs w:val="44"/>
        </w:rPr>
      </w:pPr>
      <w:bookmarkStart w:id="0" w:name="_Toc22419"/>
      <w:r>
        <w:rPr>
          <w:rFonts w:ascii="宋体" w:hAnsi="宋体"/>
          <w:sz w:val="30"/>
        </w:rPr>
        <w:br w:type="page"/>
      </w:r>
    </w:p>
    <w:p w:rsidR="00797553" w:rsidRDefault="0090194B">
      <w:pPr>
        <w:pStyle w:val="1"/>
        <w:numPr>
          <w:ilvl w:val="0"/>
          <w:numId w:val="0"/>
        </w:numPr>
      </w:pPr>
      <w:r>
        <w:rPr>
          <w:rFonts w:ascii="宋体" w:hAnsi="宋体" w:hint="eastAsia"/>
          <w:sz w:val="30"/>
        </w:rPr>
        <w:lastRenderedPageBreak/>
        <w:t>一、</w:t>
      </w:r>
      <w:r w:rsidR="009D50E8">
        <w:rPr>
          <w:rFonts w:ascii="宋体" w:hAnsi="宋体" w:hint="eastAsia"/>
          <w:sz w:val="30"/>
        </w:rPr>
        <w:t>企业</w:t>
      </w:r>
      <w:r>
        <w:rPr>
          <w:rFonts w:ascii="宋体" w:hAnsi="宋体" w:hint="eastAsia"/>
          <w:sz w:val="30"/>
        </w:rPr>
        <w:t>概况</w:t>
      </w:r>
      <w:bookmarkEnd w:id="0"/>
    </w:p>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南京百锘智能科技有限公司，成立于2010年；利用数字孪生技术和人工智能认知服务，为客户提供全生命周期的装备数字化系统解决方案。历经多年发展，已成为一家集产品研发 、数据生产、技术咨询和人才培养于一体的高新技术企业和民营科技企业；是国内领先的装备数字化系统解决方案提供商。百锘智能具有完全自主知识产权的三大软件平台：AIM资产信息模型、CIM城市信息模型和知识图谱；AIM/CIM平台基于地理信息GIS、3D建模及引擎技术，利用模块组件技术零代码低代码实现数字孪生业务场景可视化及数据可视化，方便用户快速实施部署和维护管理；提供基础数据技术平台支持；利用知识图谱快速检索，分析定位问题，提升运维管理效率和智能决策水平。百锘智能在航天军工、军事战场、轨道交通、装备制造、电力能源和智慧城市等领域提供设计规划、装备履历、操作运维、应急演练、模拟仿真、教学培训和远程协同等全生命周期的数字化解决方案和产品服务；同时提供可视化数据融合、数据分析、信息安全和智能系统等咨询服务；赋能装备及其应用场景数字化转型。</w:t>
      </w:r>
    </w:p>
    <w:p w:rsidR="00797553" w:rsidRDefault="009D50E8" w:rsidP="009D50E8">
      <w:pPr>
        <w:pStyle w:val="1"/>
        <w:numPr>
          <w:ilvl w:val="0"/>
          <w:numId w:val="0"/>
        </w:numPr>
      </w:pPr>
      <w:bookmarkStart w:id="1" w:name="_Toc32108"/>
      <w:r>
        <w:rPr>
          <w:rFonts w:ascii="Times New Roman" w:hAnsi="Times New Roman"/>
          <w:szCs w:val="24"/>
          <w:highlight w:val="lightGray"/>
        </w:rPr>
        <w:t>二</w:t>
      </w:r>
      <w:r>
        <w:rPr>
          <w:rFonts w:ascii="Times New Roman" w:hAnsi="Times New Roman" w:hint="eastAsia"/>
          <w:szCs w:val="24"/>
          <w:highlight w:val="lightGray"/>
        </w:rPr>
        <w:t>、</w:t>
      </w:r>
      <w:r w:rsidR="0090194B">
        <w:rPr>
          <w:rFonts w:hint="eastAsia"/>
        </w:rPr>
        <w:t>参与办学情况</w:t>
      </w:r>
      <w:bookmarkEnd w:id="1"/>
    </w:p>
    <w:p w:rsidR="00797553" w:rsidRDefault="0090194B">
      <w:pPr>
        <w:widowControl/>
        <w:spacing w:after="0"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采取校企合作共建的方式与南京工业职业技术大学开展校企合作，</w:t>
      </w:r>
      <w:r>
        <w:rPr>
          <w:rFonts w:ascii="宋体" w:eastAsia="宋体" w:hAnsi="宋体" w:cs="宋体"/>
          <w:color w:val="222222"/>
          <w:kern w:val="0"/>
          <w:sz w:val="24"/>
          <w:szCs w:val="24"/>
        </w:rPr>
        <w:t>共同研制适合的人才培养方案</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优化课程教学内容，确保人才培养质量</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因需开展订单班培养、现代学徒制培养等多种人才培养模式</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共同开展高质量教材建设、课程建设、教学资源建设</w:t>
      </w:r>
      <w:r>
        <w:rPr>
          <w:rFonts w:ascii="宋体" w:eastAsia="宋体" w:hAnsi="宋体" w:cs="宋体" w:hint="eastAsia"/>
          <w:color w:val="222222"/>
          <w:kern w:val="0"/>
          <w:sz w:val="24"/>
          <w:szCs w:val="24"/>
        </w:rPr>
        <w:t>。</w:t>
      </w:r>
    </w:p>
    <w:p w:rsidR="00797553" w:rsidRDefault="0090194B">
      <w:pPr>
        <w:widowControl/>
        <w:spacing w:after="0"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突破专业壁垒，凝聚跨行业精英团队。依据学校“突出专业特色、推进产学研融合”的思路，领域软件研发团队在原有软件工程和人工智能两个人才团队的基础上，努力打多元化和多样性的人才梯队，创新一套适应行业应用特色的团队体系。在院产教融合与转化中心的支持下，以苏晓萍教授为核心，汇聚唐铭等多位具有行业领域软件的跨专业优秀博士为骨干，引入软件工程系的管理和项目资源提供保障，建成一支具有职教本科先锋性作用的领域软件科研团队。团队紧紧抓住学校职教本科发展机遇，在教师“专家化、双师化、国际化”内涵方面努力提升。</w:t>
      </w:r>
    </w:p>
    <w:p w:rsidR="00797553" w:rsidRDefault="0090194B">
      <w:pPr>
        <w:widowControl/>
        <w:spacing w:after="0"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lastRenderedPageBreak/>
        <w:t>实干产教融合，发力数字化领域软件。团队围绕软件工程技术适用面广和人工智能技术高速发展的特点，集中精力探索工业具体领域产教融合的发展，利用团队多位骨干的电力能源行业经验，挖掘电力软件领域“产业数字化+数字产业化”应用契机，从碳达峰碳中和、电力智能供应链等具体应用场景入手，通过一系列项目落地实现国家和地方产业政策，为领域软件赋能行业开创了产教研融合的新局面。</w:t>
      </w:r>
    </w:p>
    <w:p w:rsidR="00797553" w:rsidRDefault="009D50E8" w:rsidP="009D50E8">
      <w:pPr>
        <w:pStyle w:val="1"/>
        <w:numPr>
          <w:ilvl w:val="0"/>
          <w:numId w:val="0"/>
        </w:numPr>
      </w:pPr>
      <w:bookmarkStart w:id="2" w:name="_Toc15429"/>
      <w:r>
        <w:rPr>
          <w:rFonts w:hint="eastAsia"/>
        </w:rPr>
        <w:t>三、</w:t>
      </w:r>
      <w:r w:rsidR="0090194B">
        <w:rPr>
          <w:rFonts w:hint="eastAsia"/>
        </w:rPr>
        <w:t>资源投入情况</w:t>
      </w:r>
      <w:bookmarkEnd w:id="2"/>
    </w:p>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2</w:t>
      </w:r>
      <w:r>
        <w:rPr>
          <w:rFonts w:ascii="宋体" w:eastAsia="宋体" w:hAnsi="宋体" w:cs="宋体"/>
          <w:color w:val="222222"/>
          <w:kern w:val="0"/>
          <w:sz w:val="24"/>
          <w:szCs w:val="24"/>
        </w:rPr>
        <w:t>023</w:t>
      </w:r>
      <w:r>
        <w:rPr>
          <w:rFonts w:ascii="宋体" w:eastAsia="宋体" w:hAnsi="宋体" w:cs="宋体" w:hint="eastAsia"/>
          <w:color w:val="222222"/>
          <w:kern w:val="0"/>
          <w:sz w:val="24"/>
          <w:szCs w:val="24"/>
        </w:rPr>
        <w:t>年</w:t>
      </w:r>
      <w:r>
        <w:rPr>
          <w:rFonts w:ascii="宋体" w:eastAsia="宋体" w:hAnsi="宋体" w:cs="宋体"/>
          <w:color w:val="222222"/>
          <w:kern w:val="0"/>
          <w:sz w:val="24"/>
          <w:szCs w:val="24"/>
        </w:rPr>
        <w:t>南京百锘智能科技有限公司</w:t>
      </w:r>
      <w:r>
        <w:rPr>
          <w:rFonts w:ascii="宋体" w:eastAsia="宋体" w:hAnsi="宋体" w:cs="宋体" w:hint="eastAsia"/>
          <w:color w:val="222222"/>
          <w:kern w:val="0"/>
          <w:sz w:val="24"/>
          <w:szCs w:val="24"/>
        </w:rPr>
        <w:t>挂牌南京工业职业技术大学大学生创新创业实践教育基地，学校投入以徐逸卿博士为首的教师团队参与实际工业项目开发，</w:t>
      </w:r>
      <w:r>
        <w:rPr>
          <w:rFonts w:ascii="宋体" w:eastAsia="宋体" w:hAnsi="宋体" w:cs="宋体"/>
          <w:color w:val="222222"/>
          <w:kern w:val="0"/>
          <w:sz w:val="24"/>
          <w:szCs w:val="24"/>
        </w:rPr>
        <w:t>南京百锘</w:t>
      </w:r>
      <w:r>
        <w:rPr>
          <w:rFonts w:ascii="宋体" w:eastAsia="宋体" w:hAnsi="宋体" w:cs="宋体" w:hint="eastAsia"/>
          <w:color w:val="222222"/>
          <w:kern w:val="0"/>
          <w:sz w:val="24"/>
          <w:szCs w:val="24"/>
        </w:rPr>
        <w:t>派遣资深工程师参与一线授课。经过双向互动有效提高教</w:t>
      </w:r>
      <w:r>
        <w:rPr>
          <w:rFonts w:ascii="宋体" w:eastAsia="宋体" w:hAnsi="宋体" w:cs="宋体"/>
          <w:color w:val="222222"/>
          <w:kern w:val="0"/>
          <w:sz w:val="24"/>
          <w:szCs w:val="24"/>
        </w:rPr>
        <w:t>师队伍</w:t>
      </w:r>
      <w:r>
        <w:rPr>
          <w:rFonts w:ascii="宋体" w:eastAsia="宋体" w:hAnsi="宋体" w:cs="宋体" w:hint="eastAsia"/>
          <w:color w:val="222222"/>
          <w:kern w:val="0"/>
          <w:sz w:val="24"/>
          <w:szCs w:val="24"/>
        </w:rPr>
        <w:t>能力，双方都</w:t>
      </w:r>
      <w:r>
        <w:rPr>
          <w:rFonts w:ascii="宋体" w:eastAsia="宋体" w:hAnsi="宋体" w:cs="宋体"/>
          <w:color w:val="222222"/>
          <w:kern w:val="0"/>
          <w:sz w:val="24"/>
          <w:szCs w:val="24"/>
        </w:rPr>
        <w:t>收获</w:t>
      </w:r>
      <w:r>
        <w:rPr>
          <w:rFonts w:ascii="宋体" w:eastAsia="宋体" w:hAnsi="宋体" w:cs="宋体" w:hint="eastAsia"/>
          <w:color w:val="222222"/>
          <w:kern w:val="0"/>
          <w:sz w:val="24"/>
          <w:szCs w:val="24"/>
        </w:rPr>
        <w:t>颇丰</w:t>
      </w:r>
      <w:r>
        <w:rPr>
          <w:rFonts w:ascii="宋体" w:eastAsia="宋体" w:hAnsi="宋体" w:cs="宋体"/>
          <w:color w:val="222222"/>
          <w:kern w:val="0"/>
          <w:sz w:val="24"/>
          <w:szCs w:val="24"/>
        </w:rPr>
        <w:t>，不仅开拓了视野，接触到专业知识和操作技能，</w:t>
      </w:r>
      <w:r>
        <w:rPr>
          <w:rFonts w:ascii="宋体" w:eastAsia="宋体" w:hAnsi="宋体" w:cs="宋体" w:hint="eastAsia"/>
          <w:color w:val="222222"/>
          <w:kern w:val="0"/>
          <w:sz w:val="24"/>
          <w:szCs w:val="24"/>
        </w:rPr>
        <w:t>而且</w:t>
      </w:r>
      <w:r>
        <w:rPr>
          <w:rFonts w:ascii="宋体" w:eastAsia="宋体" w:hAnsi="宋体" w:cs="宋体"/>
          <w:color w:val="222222"/>
          <w:kern w:val="0"/>
          <w:sz w:val="24"/>
          <w:szCs w:val="24"/>
        </w:rPr>
        <w:t>使更有利于</w:t>
      </w:r>
      <w:r>
        <w:rPr>
          <w:rFonts w:ascii="宋体" w:eastAsia="宋体" w:hAnsi="宋体" w:cs="宋体" w:hint="eastAsia"/>
          <w:color w:val="222222"/>
          <w:kern w:val="0"/>
          <w:sz w:val="24"/>
          <w:szCs w:val="24"/>
        </w:rPr>
        <w:t>学院的学科建设和</w:t>
      </w:r>
      <w:r>
        <w:rPr>
          <w:rFonts w:ascii="宋体" w:eastAsia="宋体" w:hAnsi="宋体" w:cs="宋体"/>
          <w:color w:val="222222"/>
          <w:kern w:val="0"/>
          <w:sz w:val="24"/>
          <w:szCs w:val="24"/>
        </w:rPr>
        <w:t>今后的发展建设</w:t>
      </w:r>
      <w:r>
        <w:rPr>
          <w:rFonts w:ascii="宋体" w:eastAsia="宋体" w:hAnsi="宋体" w:cs="宋体" w:hint="eastAsia"/>
          <w:color w:val="222222"/>
          <w:kern w:val="0"/>
          <w:sz w:val="24"/>
          <w:szCs w:val="24"/>
        </w:rPr>
        <w:t>。</w:t>
      </w:r>
    </w:p>
    <w:p w:rsidR="00797553" w:rsidRDefault="0090194B">
      <w:pPr>
        <w:widowControl/>
        <w:spacing w:line="360" w:lineRule="auto"/>
        <w:ind w:firstLineChars="200" w:firstLine="480"/>
        <w:jc w:val="center"/>
        <w:rPr>
          <w:rFonts w:ascii="宋体" w:eastAsia="宋体" w:hAnsi="宋体" w:cs="宋体"/>
          <w:color w:val="222222"/>
          <w:kern w:val="0"/>
          <w:sz w:val="24"/>
          <w:szCs w:val="24"/>
        </w:rPr>
      </w:pPr>
      <w:r>
        <w:rPr>
          <w:rFonts w:ascii="宋体" w:eastAsia="宋体" w:hAnsi="宋体" w:cs="宋体" w:hint="eastAsia"/>
          <w:noProof/>
          <w:color w:val="222222"/>
          <w:kern w:val="0"/>
          <w:sz w:val="24"/>
          <w:szCs w:val="24"/>
        </w:rPr>
        <w:drawing>
          <wp:inline distT="0" distB="0" distL="0" distR="0">
            <wp:extent cx="2315845" cy="1302385"/>
            <wp:effectExtent l="0" t="0" r="0" b="0"/>
            <wp:docPr id="1656693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693510"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67400" cy="1331626"/>
                    </a:xfrm>
                    <a:prstGeom prst="rect">
                      <a:avLst/>
                    </a:prstGeom>
                  </pic:spPr>
                </pic:pic>
              </a:graphicData>
            </a:graphic>
          </wp:inline>
        </w:drawing>
      </w:r>
      <w:r>
        <w:rPr>
          <w:rFonts w:ascii="宋体" w:eastAsia="宋体" w:hAnsi="宋体" w:cs="宋体" w:hint="eastAsia"/>
          <w:noProof/>
          <w:color w:val="222222"/>
          <w:kern w:val="0"/>
          <w:sz w:val="24"/>
          <w:szCs w:val="24"/>
        </w:rPr>
        <w:drawing>
          <wp:inline distT="0" distB="0" distL="0" distR="0">
            <wp:extent cx="2623185" cy="1311275"/>
            <wp:effectExtent l="0" t="0" r="0" b="0"/>
            <wp:docPr id="9711603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60346"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50974" cy="1325487"/>
                    </a:xfrm>
                    <a:prstGeom prst="rect">
                      <a:avLst/>
                    </a:prstGeom>
                  </pic:spPr>
                </pic:pic>
              </a:graphicData>
            </a:graphic>
          </wp:inline>
        </w:drawing>
      </w:r>
    </w:p>
    <w:p w:rsidR="00797553" w:rsidRDefault="0090194B">
      <w:pPr>
        <w:widowControl/>
        <w:spacing w:line="360" w:lineRule="auto"/>
        <w:ind w:firstLineChars="200" w:firstLine="480"/>
        <w:jc w:val="center"/>
        <w:rPr>
          <w:rFonts w:ascii="宋体" w:eastAsia="宋体" w:hAnsi="宋体" w:cs="宋体"/>
          <w:color w:val="222222"/>
          <w:kern w:val="0"/>
          <w:sz w:val="24"/>
          <w:szCs w:val="24"/>
        </w:rPr>
      </w:pPr>
      <w:r>
        <w:rPr>
          <w:rFonts w:ascii="宋体" w:eastAsia="宋体" w:hAnsi="宋体" w:cs="宋体" w:hint="eastAsia"/>
          <w:color w:val="222222"/>
          <w:kern w:val="0"/>
          <w:sz w:val="24"/>
          <w:szCs w:val="24"/>
        </w:rPr>
        <w:t>图1挂牌南京工业职业技术大学大学生创新创业实践教育基地</w:t>
      </w:r>
    </w:p>
    <w:p w:rsidR="00797553" w:rsidRDefault="009D50E8" w:rsidP="009D50E8">
      <w:pPr>
        <w:pStyle w:val="1"/>
        <w:numPr>
          <w:ilvl w:val="0"/>
          <w:numId w:val="0"/>
        </w:numPr>
      </w:pPr>
      <w:bookmarkStart w:id="3" w:name="_Toc4346"/>
      <w:r>
        <w:t>四</w:t>
      </w:r>
      <w:r>
        <w:rPr>
          <w:rFonts w:hint="eastAsia"/>
        </w:rPr>
        <w:t>、</w:t>
      </w:r>
      <w:r w:rsidR="0090194B">
        <w:rPr>
          <w:rFonts w:hint="eastAsia"/>
        </w:rPr>
        <w:t>参与教学情况</w:t>
      </w:r>
      <w:bookmarkEnd w:id="3"/>
    </w:p>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公司与南京工业职业大学计算机与软件学院教师一起开发了软件工程工业软件方向课程体系及实验</w:t>
      </w:r>
      <w:r>
        <w:rPr>
          <w:rFonts w:ascii="宋体" w:eastAsia="宋体" w:hAnsi="宋体" w:cs="宋体"/>
          <w:color w:val="222222"/>
          <w:kern w:val="0"/>
          <w:sz w:val="24"/>
          <w:szCs w:val="24"/>
        </w:rPr>
        <w:t>实训课程标准</w:t>
      </w:r>
      <w:r>
        <w:rPr>
          <w:rFonts w:ascii="宋体" w:eastAsia="宋体" w:hAnsi="宋体" w:cs="宋体" w:hint="eastAsia"/>
          <w:color w:val="222222"/>
          <w:kern w:val="0"/>
          <w:sz w:val="24"/>
          <w:szCs w:val="24"/>
        </w:rPr>
        <w:t>和人才培养体系。</w:t>
      </w:r>
    </w:p>
    <w:p w:rsidR="00797553" w:rsidRDefault="0090194B">
      <w:pPr>
        <w:widowControl/>
        <w:spacing w:line="360" w:lineRule="auto"/>
        <w:jc w:val="center"/>
        <w:rPr>
          <w:rFonts w:ascii="宋体" w:eastAsia="宋体" w:hAnsi="宋体" w:cs="宋体"/>
          <w:color w:val="222222"/>
          <w:kern w:val="0"/>
          <w:sz w:val="24"/>
          <w:szCs w:val="24"/>
        </w:rPr>
      </w:pPr>
      <w:r>
        <w:rPr>
          <w:rFonts w:ascii="宋体" w:eastAsia="宋体" w:hAnsi="宋体" w:cs="宋体"/>
          <w:noProof/>
          <w:color w:val="222222"/>
          <w:kern w:val="0"/>
          <w:sz w:val="24"/>
          <w:szCs w:val="24"/>
        </w:rPr>
        <w:drawing>
          <wp:inline distT="0" distB="0" distL="0" distR="0">
            <wp:extent cx="5274310" cy="1382395"/>
            <wp:effectExtent l="0" t="0" r="0" b="0"/>
            <wp:docPr id="1201927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27020" name="图片 1"/>
                    <pic:cNvPicPr>
                      <a:picLocks noChangeAspect="1"/>
                    </pic:cNvPicPr>
                  </pic:nvPicPr>
                  <pic:blipFill>
                    <a:blip r:embed="rId11"/>
                    <a:stretch>
                      <a:fillRect/>
                    </a:stretch>
                  </pic:blipFill>
                  <pic:spPr>
                    <a:xfrm>
                      <a:off x="0" y="0"/>
                      <a:ext cx="5274310" cy="1382395"/>
                    </a:xfrm>
                    <a:prstGeom prst="rect">
                      <a:avLst/>
                    </a:prstGeom>
                  </pic:spPr>
                </pic:pic>
              </a:graphicData>
            </a:graphic>
          </wp:inline>
        </w:drawing>
      </w:r>
    </w:p>
    <w:p w:rsidR="00797553" w:rsidRDefault="0090194B">
      <w:pPr>
        <w:widowControl/>
        <w:spacing w:line="360" w:lineRule="auto"/>
        <w:jc w:val="center"/>
        <w:rPr>
          <w:rFonts w:ascii="宋体" w:eastAsia="宋体" w:hAnsi="宋体" w:cs="宋体"/>
          <w:color w:val="222222"/>
          <w:kern w:val="0"/>
          <w:sz w:val="24"/>
          <w:szCs w:val="24"/>
        </w:rPr>
      </w:pPr>
      <w:r>
        <w:rPr>
          <w:rFonts w:ascii="宋体" w:eastAsia="宋体" w:hAnsi="宋体" w:cs="宋体" w:hint="eastAsia"/>
          <w:color w:val="222222"/>
          <w:kern w:val="0"/>
          <w:sz w:val="24"/>
          <w:szCs w:val="24"/>
        </w:rPr>
        <w:lastRenderedPageBreak/>
        <w:t>图2</w:t>
      </w:r>
      <w:r>
        <w:rPr>
          <w:rFonts w:ascii="宋体" w:eastAsia="宋体" w:hAnsi="宋体" w:cs="宋体"/>
          <w:color w:val="222222"/>
          <w:kern w:val="0"/>
          <w:sz w:val="24"/>
          <w:szCs w:val="24"/>
        </w:rPr>
        <w:t xml:space="preserve"> </w:t>
      </w:r>
      <w:r>
        <w:rPr>
          <w:rFonts w:ascii="宋体" w:eastAsia="宋体" w:hAnsi="宋体" w:cs="宋体" w:hint="eastAsia"/>
          <w:color w:val="222222"/>
          <w:kern w:val="0"/>
          <w:sz w:val="24"/>
          <w:szCs w:val="24"/>
        </w:rPr>
        <w:t>工业软件开发方向课程体系</w:t>
      </w:r>
    </w:p>
    <w:p w:rsidR="00797553" w:rsidRDefault="0090194B">
      <w:pPr>
        <w:widowControl/>
        <w:spacing w:line="360" w:lineRule="auto"/>
        <w:ind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同时，公司关注内涵建设，打破专业壁垒，坚持将产业实践要素融入人才培养方案，高质量开展联合培养，推动校企课程共建、团队共商、项目共谋、导师共聘和人才共育，“企业出题、校企共答”的卓越工程人才培养举措不断丰富。派遣资深工业现场工程师参与工业软件相关专业综合实训授课，为</w:t>
      </w:r>
      <w:r>
        <w:rPr>
          <w:rFonts w:ascii="宋体" w:eastAsia="宋体" w:hAnsi="宋体" w:cs="宋体"/>
          <w:color w:val="222222"/>
          <w:kern w:val="0"/>
          <w:sz w:val="24"/>
          <w:szCs w:val="24"/>
        </w:rPr>
        <w:t>提供实践教学资源，包括实习基地和实践导师等，帮助学生了解实际工作场景，</w:t>
      </w:r>
      <w:r>
        <w:rPr>
          <w:rFonts w:ascii="宋体" w:eastAsia="宋体" w:hAnsi="宋体" w:cs="宋体" w:hint="eastAsia"/>
          <w:color w:val="222222"/>
          <w:kern w:val="0"/>
          <w:sz w:val="24"/>
          <w:szCs w:val="24"/>
        </w:rPr>
        <w:t>这一举措不仅有助于提高学生的实际操作能力和专业素养，而且还能为他们未来的职业发展打下坚实的基础；为各专业</w:t>
      </w:r>
      <w:r>
        <w:rPr>
          <w:rFonts w:ascii="宋体" w:eastAsia="宋体" w:hAnsi="宋体" w:cs="宋体"/>
          <w:color w:val="222222"/>
          <w:kern w:val="0"/>
          <w:sz w:val="24"/>
          <w:szCs w:val="24"/>
        </w:rPr>
        <w:t>提供行业前沿技术和市场需求等方面的信息，参与课程设计，使课程内容更加贴近实际需求</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为学校教师提供实践经验和技能培训，提高教师的实践能力和教学水平，从而更好地指导学生。</w:t>
      </w:r>
      <w:r>
        <w:rPr>
          <w:rFonts w:ascii="宋体" w:eastAsia="宋体" w:hAnsi="宋体" w:cs="宋体" w:hint="eastAsia"/>
          <w:color w:val="222222"/>
          <w:kern w:val="0"/>
          <w:sz w:val="24"/>
          <w:szCs w:val="24"/>
        </w:rPr>
        <w:t>不断深化产教融合、科教融汇育人成效，推动教育链、人才链与产业链、创新链深度融合、一体推进。</w:t>
      </w:r>
    </w:p>
    <w:p w:rsidR="00797553" w:rsidRDefault="009D50E8" w:rsidP="009D50E8">
      <w:pPr>
        <w:pStyle w:val="1"/>
        <w:numPr>
          <w:ilvl w:val="0"/>
          <w:numId w:val="0"/>
        </w:numPr>
      </w:pPr>
      <w:bookmarkStart w:id="4" w:name="_Toc14288"/>
      <w:r>
        <w:t>五</w:t>
      </w:r>
      <w:r>
        <w:rPr>
          <w:rFonts w:hint="eastAsia"/>
        </w:rPr>
        <w:t>、</w:t>
      </w:r>
      <w:r w:rsidR="0090194B">
        <w:rPr>
          <w:rFonts w:hint="eastAsia"/>
        </w:rPr>
        <w:t>助推企业发展情况</w:t>
      </w:r>
      <w:bookmarkEnd w:id="4"/>
    </w:p>
    <w:p w:rsidR="00797553" w:rsidRDefault="0090194B">
      <w:pPr>
        <w:widowControl/>
        <w:spacing w:line="360" w:lineRule="auto"/>
        <w:ind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2</w:t>
      </w:r>
      <w:r>
        <w:rPr>
          <w:rFonts w:ascii="宋体" w:eastAsia="宋体" w:hAnsi="宋体" w:cs="宋体"/>
          <w:color w:val="222222"/>
          <w:kern w:val="0"/>
          <w:sz w:val="24"/>
          <w:szCs w:val="24"/>
        </w:rPr>
        <w:t>023</w:t>
      </w:r>
      <w:r>
        <w:rPr>
          <w:rFonts w:ascii="宋体" w:eastAsia="宋体" w:hAnsi="宋体" w:cs="宋体" w:hint="eastAsia"/>
          <w:color w:val="222222"/>
          <w:kern w:val="0"/>
          <w:sz w:val="24"/>
          <w:szCs w:val="24"/>
        </w:rPr>
        <w:t>年，我司联合南京工业职业技术大学成立的领域软件应用研究院，助推公司在AIM资产信息模型、CIM城市信息模型和知识图谱进行深入研发。</w:t>
      </w:r>
      <w:r>
        <w:rPr>
          <w:rFonts w:ascii="宋体" w:eastAsia="宋体" w:hAnsi="宋体" w:cs="宋体"/>
          <w:color w:val="222222"/>
          <w:kern w:val="0"/>
          <w:sz w:val="24"/>
          <w:szCs w:val="24"/>
        </w:rPr>
        <w:t>开展联合研究项目</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与</w:t>
      </w:r>
      <w:r>
        <w:rPr>
          <w:rFonts w:ascii="宋体" w:eastAsia="宋体" w:hAnsi="宋体" w:cs="宋体" w:hint="eastAsia"/>
          <w:color w:val="222222"/>
          <w:kern w:val="0"/>
          <w:sz w:val="24"/>
          <w:szCs w:val="24"/>
        </w:rPr>
        <w:t>计算机与软件学院</w:t>
      </w:r>
      <w:r>
        <w:rPr>
          <w:rFonts w:ascii="宋体" w:eastAsia="宋体" w:hAnsi="宋体" w:cs="宋体"/>
          <w:color w:val="222222"/>
          <w:kern w:val="0"/>
          <w:sz w:val="24"/>
          <w:szCs w:val="24"/>
        </w:rPr>
        <w:t>共同开展联合研究项目，针对特定的技术难题和应用场景进行深入研究，推动技术的突破和创新</w:t>
      </w:r>
      <w:r>
        <w:rPr>
          <w:rFonts w:ascii="宋体" w:eastAsia="宋体" w:hAnsi="宋体" w:cs="宋体" w:hint="eastAsia"/>
          <w:color w:val="222222"/>
          <w:kern w:val="0"/>
          <w:sz w:val="24"/>
          <w:szCs w:val="24"/>
        </w:rPr>
        <w:t>；同时，学院</w:t>
      </w:r>
      <w:r>
        <w:rPr>
          <w:rFonts w:ascii="宋体" w:eastAsia="宋体" w:hAnsi="宋体" w:cs="宋体"/>
          <w:color w:val="222222"/>
          <w:kern w:val="0"/>
          <w:sz w:val="24"/>
          <w:szCs w:val="24"/>
        </w:rPr>
        <w:t>帮助</w:t>
      </w:r>
      <w:r>
        <w:rPr>
          <w:rFonts w:ascii="宋体" w:eastAsia="宋体" w:hAnsi="宋体" w:cs="宋体" w:hint="eastAsia"/>
          <w:color w:val="222222"/>
          <w:kern w:val="0"/>
          <w:sz w:val="24"/>
          <w:szCs w:val="24"/>
        </w:rPr>
        <w:t>公司</w:t>
      </w:r>
      <w:r>
        <w:rPr>
          <w:rFonts w:ascii="宋体" w:eastAsia="宋体" w:hAnsi="宋体" w:cs="宋体"/>
          <w:color w:val="222222"/>
          <w:kern w:val="0"/>
          <w:sz w:val="24"/>
          <w:szCs w:val="24"/>
        </w:rPr>
        <w:t>建立健全的知识产权保护机制，提供知识产权咨询、申请和维权服务，保护公司的技术成果和创新成果</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加强国际合作与交流</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积极开展国际合作与交流，与国际先进的研究机构和企业建立合作关系，共同推动相关领域的技术进步和发展。</w:t>
      </w:r>
    </w:p>
    <w:p w:rsidR="00797553" w:rsidRDefault="0090194B">
      <w:pPr>
        <w:widowControl/>
        <w:spacing w:line="360" w:lineRule="auto"/>
        <w:ind w:firstLine="480"/>
        <w:jc w:val="left"/>
        <w:rPr>
          <w:rFonts w:ascii="宋体" w:eastAsia="宋体" w:hAnsi="宋体" w:cs="宋体"/>
          <w:color w:val="222222"/>
          <w:kern w:val="0"/>
          <w:sz w:val="24"/>
          <w:szCs w:val="24"/>
        </w:rPr>
      </w:pPr>
      <w:r>
        <w:rPr>
          <w:rFonts w:ascii="宋体" w:eastAsia="宋体" w:hAnsi="宋体" w:cs="宋体"/>
          <w:noProof/>
          <w:color w:val="222222"/>
          <w:kern w:val="0"/>
          <w:sz w:val="24"/>
          <w:szCs w:val="24"/>
        </w:rPr>
        <w:lastRenderedPageBreak/>
        <w:drawing>
          <wp:inline distT="0" distB="0" distL="0" distR="0">
            <wp:extent cx="4625975" cy="2588895"/>
            <wp:effectExtent l="0" t="0" r="0" b="0"/>
            <wp:docPr id="1258320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20200" name="图片 1"/>
                    <pic:cNvPicPr>
                      <a:picLocks noChangeAspect="1"/>
                    </pic:cNvPicPr>
                  </pic:nvPicPr>
                  <pic:blipFill>
                    <a:blip r:embed="rId12"/>
                    <a:stretch>
                      <a:fillRect/>
                    </a:stretch>
                  </pic:blipFill>
                  <pic:spPr>
                    <a:xfrm>
                      <a:off x="0" y="0"/>
                      <a:ext cx="4670599" cy="2614209"/>
                    </a:xfrm>
                    <a:prstGeom prst="rect">
                      <a:avLst/>
                    </a:prstGeom>
                  </pic:spPr>
                </pic:pic>
              </a:graphicData>
            </a:graphic>
          </wp:inline>
        </w:drawing>
      </w:r>
    </w:p>
    <w:p w:rsidR="00797553" w:rsidRDefault="0090194B">
      <w:pPr>
        <w:widowControl/>
        <w:spacing w:line="360" w:lineRule="auto"/>
        <w:ind w:firstLine="480"/>
        <w:jc w:val="center"/>
        <w:rPr>
          <w:rFonts w:ascii="宋体" w:eastAsia="宋体" w:hAnsi="宋体" w:cs="宋体"/>
          <w:color w:val="222222"/>
          <w:kern w:val="0"/>
          <w:sz w:val="24"/>
          <w:szCs w:val="24"/>
        </w:rPr>
      </w:pPr>
      <w:r>
        <w:rPr>
          <w:rFonts w:ascii="宋体" w:eastAsia="宋体" w:hAnsi="宋体" w:cs="宋体" w:hint="eastAsia"/>
          <w:color w:val="222222"/>
          <w:kern w:val="0"/>
          <w:sz w:val="24"/>
          <w:szCs w:val="24"/>
        </w:rPr>
        <w:t>图3</w:t>
      </w:r>
      <w:r>
        <w:rPr>
          <w:rFonts w:ascii="宋体" w:eastAsia="宋体" w:hAnsi="宋体" w:cs="宋体"/>
          <w:color w:val="222222"/>
          <w:kern w:val="0"/>
          <w:sz w:val="24"/>
          <w:szCs w:val="24"/>
        </w:rPr>
        <w:t xml:space="preserve"> </w:t>
      </w:r>
      <w:r>
        <w:rPr>
          <w:rFonts w:ascii="宋体" w:eastAsia="宋体" w:hAnsi="宋体" w:cs="宋体" w:hint="eastAsia"/>
          <w:color w:val="222222"/>
          <w:kern w:val="0"/>
          <w:sz w:val="24"/>
          <w:szCs w:val="24"/>
        </w:rPr>
        <w:t>2</w:t>
      </w:r>
      <w:r>
        <w:rPr>
          <w:rFonts w:ascii="宋体" w:eastAsia="宋体" w:hAnsi="宋体" w:cs="宋体"/>
          <w:color w:val="222222"/>
          <w:kern w:val="0"/>
          <w:sz w:val="24"/>
          <w:szCs w:val="24"/>
        </w:rPr>
        <w:t>023</w:t>
      </w:r>
      <w:r>
        <w:rPr>
          <w:rFonts w:ascii="宋体" w:eastAsia="宋体" w:hAnsi="宋体" w:cs="宋体" w:hint="eastAsia"/>
          <w:color w:val="222222"/>
          <w:kern w:val="0"/>
          <w:sz w:val="24"/>
          <w:szCs w:val="24"/>
        </w:rPr>
        <w:t>年校级应用技术研究机构名单</w:t>
      </w:r>
    </w:p>
    <w:p w:rsidR="00797553" w:rsidRDefault="009D50E8" w:rsidP="009D50E8">
      <w:pPr>
        <w:pStyle w:val="1"/>
        <w:numPr>
          <w:ilvl w:val="0"/>
          <w:numId w:val="0"/>
        </w:numPr>
      </w:pPr>
      <w:bookmarkStart w:id="5" w:name="_Toc2655"/>
      <w:r>
        <w:t>六</w:t>
      </w:r>
      <w:r>
        <w:rPr>
          <w:rFonts w:hint="eastAsia"/>
        </w:rPr>
        <w:t>、</w:t>
      </w:r>
      <w:r w:rsidR="0090194B">
        <w:rPr>
          <w:rFonts w:hint="eastAsia"/>
        </w:rPr>
        <w:t>服务地方</w:t>
      </w:r>
      <w:bookmarkEnd w:id="5"/>
    </w:p>
    <w:p w:rsidR="00BB08F6" w:rsidRDefault="0090194B" w:rsidP="00BB08F6">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南京百锘</w:t>
      </w:r>
      <w:r>
        <w:rPr>
          <w:rFonts w:ascii="宋体" w:eastAsia="宋体" w:hAnsi="宋体" w:cs="宋体" w:hint="eastAsia"/>
          <w:color w:val="222222"/>
          <w:kern w:val="0"/>
          <w:sz w:val="24"/>
          <w:szCs w:val="24"/>
        </w:rPr>
        <w:t>非常重视为社会和企业开展教育培训服务和技术服务，在航天军工、军事战场、轨道交通、装备制造、电力能源和智慧城市等领域提供应急演练、模拟仿真、教学培训和远程协同等全生命周期的数字化解决方案和产品服务。</w:t>
      </w:r>
      <w:bookmarkStart w:id="6" w:name="_Toc23468"/>
    </w:p>
    <w:p w:rsidR="00797553" w:rsidRPr="00BB08F6" w:rsidRDefault="00BB08F6" w:rsidP="00BB08F6">
      <w:pPr>
        <w:pStyle w:val="1"/>
        <w:numPr>
          <w:ilvl w:val="0"/>
          <w:numId w:val="0"/>
        </w:numPr>
      </w:pPr>
      <w:bookmarkStart w:id="7" w:name="_GoBack"/>
      <w:r w:rsidRPr="00BB08F6">
        <w:t>七</w:t>
      </w:r>
      <w:r w:rsidRPr="00BB08F6">
        <w:rPr>
          <w:rFonts w:hint="eastAsia"/>
        </w:rPr>
        <w:t>、</w:t>
      </w:r>
      <w:r w:rsidR="0090194B">
        <w:rPr>
          <w:rFonts w:hint="eastAsia"/>
        </w:rPr>
        <w:t>保障体系</w:t>
      </w:r>
      <w:bookmarkEnd w:id="6"/>
    </w:p>
    <w:bookmarkEnd w:id="7"/>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南京百锘</w:t>
      </w:r>
      <w:r>
        <w:rPr>
          <w:rFonts w:ascii="宋体" w:eastAsia="宋体" w:hAnsi="宋体" w:cs="宋体" w:hint="eastAsia"/>
          <w:color w:val="222222"/>
          <w:kern w:val="0"/>
          <w:sz w:val="24"/>
          <w:szCs w:val="24"/>
        </w:rPr>
        <w:t>与学校签署战略合作协议，明确合作愿景及双方职责。</w:t>
      </w:r>
      <w:r>
        <w:rPr>
          <w:rFonts w:ascii="宋体" w:eastAsia="宋体" w:hAnsi="宋体" w:cs="宋体"/>
          <w:color w:val="222222"/>
          <w:kern w:val="0"/>
          <w:sz w:val="24"/>
          <w:szCs w:val="24"/>
        </w:rPr>
        <w:t>学校可成为南京百锘客户、渠道伙伴、师资培养、企业内训等服务内容的合作基地；南京百锘可成为学校学生的校外实习、实验、实训基地，基于社会实训、顶岗实习、专项委培等项目来进行全方位的合作；南京百锘对学校的优秀学员保留优先录用权</w:t>
      </w:r>
      <w:r>
        <w:rPr>
          <w:rFonts w:ascii="宋体" w:eastAsia="宋体" w:hAnsi="宋体" w:cs="宋体" w:hint="eastAsia"/>
          <w:color w:val="222222"/>
          <w:kern w:val="0"/>
          <w:sz w:val="24"/>
          <w:szCs w:val="24"/>
        </w:rPr>
        <w:t>。</w:t>
      </w:r>
    </w:p>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南京百锘</w:t>
      </w:r>
      <w:r>
        <w:rPr>
          <w:rFonts w:ascii="宋体" w:eastAsia="宋体" w:hAnsi="宋体" w:cs="宋体" w:hint="eastAsia"/>
          <w:color w:val="222222"/>
          <w:kern w:val="0"/>
          <w:sz w:val="24"/>
          <w:szCs w:val="24"/>
        </w:rPr>
        <w:t>可以</w:t>
      </w:r>
      <w:r>
        <w:rPr>
          <w:rFonts w:ascii="宋体" w:eastAsia="宋体" w:hAnsi="宋体" w:cs="宋体"/>
          <w:color w:val="222222"/>
          <w:kern w:val="0"/>
          <w:sz w:val="24"/>
          <w:szCs w:val="24"/>
        </w:rPr>
        <w:t>将生产、经营、工程、研发过程中的项目迁移到学校，由学校进行研发、实施等，</w:t>
      </w:r>
      <w:r>
        <w:rPr>
          <w:rFonts w:ascii="宋体" w:eastAsia="宋体" w:hAnsi="宋体" w:cs="宋体" w:hint="eastAsia"/>
          <w:color w:val="222222"/>
          <w:kern w:val="0"/>
          <w:sz w:val="24"/>
          <w:szCs w:val="24"/>
        </w:rPr>
        <w:t>也</w:t>
      </w:r>
      <w:r>
        <w:rPr>
          <w:rFonts w:ascii="宋体" w:eastAsia="宋体" w:hAnsi="宋体" w:cs="宋体"/>
          <w:color w:val="222222"/>
          <w:kern w:val="0"/>
          <w:sz w:val="24"/>
          <w:szCs w:val="24"/>
        </w:rPr>
        <w:t>可将生产、经营、工程、研发过程中的实际案例进过脱敏改造后形成教学资源；学校</w:t>
      </w:r>
      <w:r>
        <w:rPr>
          <w:rFonts w:ascii="宋体" w:eastAsia="宋体" w:hAnsi="宋体" w:cs="宋体" w:hint="eastAsia"/>
          <w:color w:val="222222"/>
          <w:kern w:val="0"/>
          <w:sz w:val="24"/>
          <w:szCs w:val="24"/>
        </w:rPr>
        <w:t>可以</w:t>
      </w:r>
      <w:r>
        <w:rPr>
          <w:rFonts w:ascii="宋体" w:eastAsia="宋体" w:hAnsi="宋体" w:cs="宋体"/>
          <w:color w:val="222222"/>
          <w:kern w:val="0"/>
          <w:sz w:val="24"/>
          <w:szCs w:val="24"/>
        </w:rPr>
        <w:t>安排有经验的专业教师承担或参与南京百锘科研工作，优先为南京百锘提供新技术的科技咨询和科研成果技术转让；南京百锘</w:t>
      </w:r>
      <w:r>
        <w:rPr>
          <w:rFonts w:ascii="宋体" w:eastAsia="宋体" w:hAnsi="宋体" w:cs="宋体" w:hint="eastAsia"/>
          <w:color w:val="222222"/>
          <w:kern w:val="0"/>
          <w:sz w:val="24"/>
          <w:szCs w:val="24"/>
        </w:rPr>
        <w:t>也</w:t>
      </w:r>
      <w:r>
        <w:rPr>
          <w:rFonts w:ascii="宋体" w:eastAsia="宋体" w:hAnsi="宋体" w:cs="宋体"/>
          <w:color w:val="222222"/>
          <w:kern w:val="0"/>
          <w:sz w:val="24"/>
          <w:szCs w:val="24"/>
        </w:rPr>
        <w:t>可聘请学校推荐的专业教师参与科研工作</w:t>
      </w:r>
      <w:r>
        <w:rPr>
          <w:rFonts w:ascii="宋体" w:eastAsia="宋体" w:hAnsi="宋体" w:cs="宋体" w:hint="eastAsia"/>
          <w:color w:val="222222"/>
          <w:kern w:val="0"/>
          <w:sz w:val="24"/>
          <w:szCs w:val="24"/>
        </w:rPr>
        <w:t>。</w:t>
      </w:r>
    </w:p>
    <w:p w:rsidR="00797553" w:rsidRDefault="009D50E8" w:rsidP="009D50E8">
      <w:pPr>
        <w:pStyle w:val="1"/>
        <w:numPr>
          <w:ilvl w:val="0"/>
          <w:numId w:val="0"/>
        </w:numPr>
      </w:pPr>
      <w:bookmarkStart w:id="8" w:name="_Toc29255"/>
      <w:r>
        <w:lastRenderedPageBreak/>
        <w:t>八</w:t>
      </w:r>
      <w:r>
        <w:rPr>
          <w:rFonts w:hint="eastAsia"/>
        </w:rPr>
        <w:t>、</w:t>
      </w:r>
      <w:r w:rsidR="0090194B">
        <w:rPr>
          <w:rFonts w:hint="eastAsia"/>
        </w:rPr>
        <w:t>问题与展望</w:t>
      </w:r>
      <w:bookmarkEnd w:id="8"/>
    </w:p>
    <w:p w:rsidR="00797553" w:rsidRDefault="0090194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为软件行业培养高技术技能人才是职业教育，特别是职业本科，在国家产业升级中必须肩负的使命。南京工业职业技术大学与</w:t>
      </w:r>
      <w:r>
        <w:rPr>
          <w:rFonts w:ascii="宋体" w:eastAsia="宋体" w:hAnsi="宋体" w:cs="宋体"/>
          <w:color w:val="222222"/>
          <w:kern w:val="0"/>
          <w:sz w:val="24"/>
          <w:szCs w:val="24"/>
        </w:rPr>
        <w:t>南京百锘</w:t>
      </w:r>
      <w:r>
        <w:rPr>
          <w:rFonts w:ascii="宋体" w:eastAsia="宋体" w:hAnsi="宋体" w:cs="宋体" w:hint="eastAsia"/>
          <w:color w:val="222222"/>
          <w:kern w:val="0"/>
          <w:sz w:val="24"/>
          <w:szCs w:val="24"/>
        </w:rPr>
        <w:t>的合作虽然初见成效，但发展如何向深水区挺近，仍任重道远。一方面校企合作资</w:t>
      </w:r>
      <w:r>
        <w:rPr>
          <w:rFonts w:ascii="宋体" w:eastAsia="宋体" w:hAnsi="宋体" w:cs="宋体"/>
          <w:color w:val="222222"/>
          <w:kern w:val="0"/>
          <w:sz w:val="24"/>
          <w:szCs w:val="24"/>
        </w:rPr>
        <w:t>源整合不足</w:t>
      </w:r>
      <w:r>
        <w:rPr>
          <w:rFonts w:ascii="宋体" w:eastAsia="宋体" w:hAnsi="宋体" w:cs="宋体" w:hint="eastAsia"/>
          <w:color w:val="222222"/>
          <w:kern w:val="0"/>
          <w:sz w:val="24"/>
          <w:szCs w:val="24"/>
        </w:rPr>
        <w:t>，</w:t>
      </w:r>
      <w:r>
        <w:rPr>
          <w:rFonts w:ascii="宋体" w:eastAsia="宋体" w:hAnsi="宋体" w:cs="宋体"/>
          <w:color w:val="222222"/>
          <w:kern w:val="0"/>
          <w:sz w:val="24"/>
          <w:szCs w:val="24"/>
        </w:rPr>
        <w:t>双方资源整合不够，导致合作效果</w:t>
      </w:r>
      <w:r>
        <w:rPr>
          <w:rFonts w:ascii="宋体" w:eastAsia="宋体" w:hAnsi="宋体" w:cs="宋体" w:hint="eastAsia"/>
          <w:color w:val="222222"/>
          <w:kern w:val="0"/>
          <w:sz w:val="24"/>
          <w:szCs w:val="24"/>
        </w:rPr>
        <w:t>受限，</w:t>
      </w:r>
      <w:r>
        <w:rPr>
          <w:rFonts w:ascii="宋体" w:eastAsia="宋体" w:hAnsi="宋体" w:cs="宋体"/>
          <w:color w:val="222222"/>
          <w:kern w:val="0"/>
          <w:sz w:val="24"/>
          <w:szCs w:val="24"/>
        </w:rPr>
        <w:t>学校和企业应充分挖掘各自的优势资源，进行整合和共享。学校可以提供优秀的教学资源和企业需要的人才资源，企业可以提供先进的设备和实践经验。通过资源整合，可以提高双方的合作效率和效果，实现互利共赢。</w:t>
      </w:r>
      <w:r>
        <w:rPr>
          <w:rFonts w:ascii="宋体" w:eastAsia="宋体" w:hAnsi="宋体" w:cs="宋体" w:hint="eastAsia"/>
          <w:color w:val="222222"/>
          <w:kern w:val="0"/>
          <w:sz w:val="24"/>
          <w:szCs w:val="24"/>
        </w:rPr>
        <w:t>另一方面，</w:t>
      </w:r>
      <w:r>
        <w:rPr>
          <w:rFonts w:ascii="宋体" w:eastAsia="宋体" w:hAnsi="宋体" w:cs="宋体"/>
          <w:color w:val="222222"/>
          <w:kern w:val="0"/>
          <w:sz w:val="24"/>
          <w:szCs w:val="24"/>
        </w:rPr>
        <w:t>政策支持</w:t>
      </w:r>
      <w:r>
        <w:rPr>
          <w:rFonts w:ascii="宋体" w:eastAsia="宋体" w:hAnsi="宋体" w:cs="宋体" w:hint="eastAsia"/>
          <w:color w:val="222222"/>
          <w:kern w:val="0"/>
          <w:sz w:val="24"/>
          <w:szCs w:val="24"/>
        </w:rPr>
        <w:t>有待落地，</w:t>
      </w:r>
      <w:r>
        <w:rPr>
          <w:rFonts w:ascii="宋体" w:eastAsia="宋体" w:hAnsi="宋体" w:cs="宋体"/>
          <w:color w:val="222222"/>
          <w:kern w:val="0"/>
          <w:sz w:val="24"/>
          <w:szCs w:val="24"/>
        </w:rPr>
        <w:t>政府对校企合作产教融合的支持政策</w:t>
      </w:r>
      <w:r>
        <w:rPr>
          <w:rFonts w:ascii="宋体" w:eastAsia="宋体" w:hAnsi="宋体" w:cs="宋体" w:hint="eastAsia"/>
          <w:color w:val="222222"/>
          <w:kern w:val="0"/>
          <w:sz w:val="24"/>
          <w:szCs w:val="24"/>
        </w:rPr>
        <w:t>趋于</w:t>
      </w:r>
      <w:r>
        <w:rPr>
          <w:rFonts w:ascii="宋体" w:eastAsia="宋体" w:hAnsi="宋体" w:cs="宋体"/>
          <w:color w:val="222222"/>
          <w:kern w:val="0"/>
          <w:sz w:val="24"/>
          <w:szCs w:val="24"/>
        </w:rPr>
        <w:t>完善，</w:t>
      </w:r>
      <w:r>
        <w:rPr>
          <w:rFonts w:ascii="宋体" w:eastAsia="宋体" w:hAnsi="宋体" w:cs="宋体" w:hint="eastAsia"/>
          <w:color w:val="222222"/>
          <w:kern w:val="0"/>
          <w:sz w:val="24"/>
          <w:szCs w:val="24"/>
        </w:rPr>
        <w:t>但</w:t>
      </w:r>
      <w:r>
        <w:rPr>
          <w:rFonts w:ascii="宋体" w:eastAsia="宋体" w:hAnsi="宋体" w:cs="宋体"/>
          <w:color w:val="222222"/>
          <w:kern w:val="0"/>
          <w:sz w:val="24"/>
          <w:szCs w:val="24"/>
        </w:rPr>
        <w:t>缺乏具体的实施细则和保障措施</w:t>
      </w:r>
      <w:r>
        <w:rPr>
          <w:rFonts w:ascii="宋体" w:eastAsia="宋体" w:hAnsi="宋体" w:cs="宋体" w:hint="eastAsia"/>
          <w:color w:val="222222"/>
          <w:kern w:val="0"/>
          <w:sz w:val="24"/>
          <w:szCs w:val="24"/>
        </w:rPr>
        <w:t>，可以</w:t>
      </w:r>
      <w:r>
        <w:rPr>
          <w:rFonts w:ascii="宋体" w:eastAsia="宋体" w:hAnsi="宋体" w:cs="宋体"/>
          <w:color w:val="222222"/>
          <w:kern w:val="0"/>
          <w:sz w:val="24"/>
          <w:szCs w:val="24"/>
        </w:rPr>
        <w:t>根据企业需求和行业发展趋势，不断深化教学改革，除了传统的实践教学、顶岗实习等合作领域外，还可以在科技创新、产品开发、社会服务等方面开展更广泛的合作。</w:t>
      </w:r>
    </w:p>
    <w:sectPr w:rsidR="00797553">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699" w:rsidRDefault="00240699">
      <w:pPr>
        <w:spacing w:line="240" w:lineRule="auto"/>
      </w:pPr>
      <w:r>
        <w:separator/>
      </w:r>
    </w:p>
  </w:endnote>
  <w:endnote w:type="continuationSeparator" w:id="0">
    <w:p w:rsidR="00240699" w:rsidRDefault="00240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649"/>
      <w:docPartObj>
        <w:docPartGallery w:val="Page Numbers (Bottom of Page)"/>
        <w:docPartUnique/>
      </w:docPartObj>
    </w:sdtPr>
    <w:sdtEndPr/>
    <w:sdtContent>
      <w:p w:rsidR="009D50E8" w:rsidRDefault="009D50E8">
        <w:pPr>
          <w:pStyle w:val="a5"/>
          <w:jc w:val="center"/>
        </w:pPr>
        <w:r>
          <w:fldChar w:fldCharType="begin"/>
        </w:r>
        <w:r>
          <w:instrText>PAGE   \* MERGEFORMAT</w:instrText>
        </w:r>
        <w:r>
          <w:fldChar w:fldCharType="separate"/>
        </w:r>
        <w:r w:rsidR="00BB08F6" w:rsidRPr="00BB08F6">
          <w:rPr>
            <w:noProof/>
            <w:lang w:val="zh-CN"/>
          </w:rPr>
          <w:t>1</w:t>
        </w:r>
        <w:r>
          <w:fldChar w:fldCharType="end"/>
        </w:r>
      </w:p>
    </w:sdtContent>
  </w:sdt>
  <w:p w:rsidR="009D50E8" w:rsidRDefault="009D50E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699" w:rsidRDefault="00240699">
      <w:pPr>
        <w:spacing w:after="0"/>
      </w:pPr>
      <w:r>
        <w:separator/>
      </w:r>
    </w:p>
  </w:footnote>
  <w:footnote w:type="continuationSeparator" w:id="0">
    <w:p w:rsidR="00240699" w:rsidRDefault="002406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9068A9"/>
    <w:multiLevelType w:val="multilevel"/>
    <w:tmpl w:val="B49068A9"/>
    <w:lvl w:ilvl="0">
      <w:start w:val="1"/>
      <w:numFmt w:val="chineseCounting"/>
      <w:pStyle w:val="1"/>
      <w:suff w:val="nothing"/>
      <w:lvlText w:val="%1、"/>
      <w:lvlJc w:val="left"/>
      <w:pPr>
        <w:tabs>
          <w:tab w:val="left" w:pos="0"/>
        </w:tabs>
        <w:ind w:left="0" w:firstLine="0"/>
      </w:pPr>
      <w:rPr>
        <w:rFonts w:ascii="Times New Roman" w:eastAsia="宋体" w:hAnsi="Times New Roman" w:hint="eastAsia"/>
        <w:b/>
        <w:bCs/>
        <w:sz w:val="24"/>
        <w:szCs w:val="24"/>
      </w:rPr>
    </w:lvl>
    <w:lvl w:ilvl="1">
      <w:start w:val="1"/>
      <w:numFmt w:val="chineseCounting"/>
      <w:pStyle w:val="2"/>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5MjM3YzAyMjhiMjk2NDI2OGU5NWEyNTkzNjYxZmYifQ=="/>
  </w:docVars>
  <w:rsids>
    <w:rsidRoot w:val="009E2E4F"/>
    <w:rsid w:val="000527C7"/>
    <w:rsid w:val="0006216C"/>
    <w:rsid w:val="00092AD4"/>
    <w:rsid w:val="000B05C4"/>
    <w:rsid w:val="000B42AF"/>
    <w:rsid w:val="0018002E"/>
    <w:rsid w:val="0019549C"/>
    <w:rsid w:val="0023444A"/>
    <w:rsid w:val="00240699"/>
    <w:rsid w:val="00257441"/>
    <w:rsid w:val="0026594A"/>
    <w:rsid w:val="00272904"/>
    <w:rsid w:val="00284FEC"/>
    <w:rsid w:val="00285B0A"/>
    <w:rsid w:val="002B08EE"/>
    <w:rsid w:val="002B6288"/>
    <w:rsid w:val="002B6A46"/>
    <w:rsid w:val="0033537D"/>
    <w:rsid w:val="00340521"/>
    <w:rsid w:val="00340712"/>
    <w:rsid w:val="003621D3"/>
    <w:rsid w:val="003708A1"/>
    <w:rsid w:val="003876E0"/>
    <w:rsid w:val="00390B4F"/>
    <w:rsid w:val="003A700F"/>
    <w:rsid w:val="003D138E"/>
    <w:rsid w:val="0044519B"/>
    <w:rsid w:val="00473222"/>
    <w:rsid w:val="00480ACB"/>
    <w:rsid w:val="00491CC9"/>
    <w:rsid w:val="0050611A"/>
    <w:rsid w:val="005113A0"/>
    <w:rsid w:val="0053698A"/>
    <w:rsid w:val="00537EFB"/>
    <w:rsid w:val="005715E1"/>
    <w:rsid w:val="00592228"/>
    <w:rsid w:val="005926DE"/>
    <w:rsid w:val="005C3EBF"/>
    <w:rsid w:val="00627288"/>
    <w:rsid w:val="0064611E"/>
    <w:rsid w:val="00655BC8"/>
    <w:rsid w:val="006976A6"/>
    <w:rsid w:val="006D1A65"/>
    <w:rsid w:val="006E23D9"/>
    <w:rsid w:val="00740331"/>
    <w:rsid w:val="00761FE9"/>
    <w:rsid w:val="0079625E"/>
    <w:rsid w:val="00797553"/>
    <w:rsid w:val="007C3FB6"/>
    <w:rsid w:val="00852C78"/>
    <w:rsid w:val="0086190B"/>
    <w:rsid w:val="0088246E"/>
    <w:rsid w:val="008B08CE"/>
    <w:rsid w:val="008C7A2D"/>
    <w:rsid w:val="0090194B"/>
    <w:rsid w:val="00942943"/>
    <w:rsid w:val="00951034"/>
    <w:rsid w:val="00952A51"/>
    <w:rsid w:val="009973BE"/>
    <w:rsid w:val="009D50E8"/>
    <w:rsid w:val="009E2E4F"/>
    <w:rsid w:val="009F524E"/>
    <w:rsid w:val="00A06940"/>
    <w:rsid w:val="00AB09A0"/>
    <w:rsid w:val="00AC34A5"/>
    <w:rsid w:val="00AD5841"/>
    <w:rsid w:val="00B16995"/>
    <w:rsid w:val="00B35B74"/>
    <w:rsid w:val="00B35BA6"/>
    <w:rsid w:val="00BB08F6"/>
    <w:rsid w:val="00BC2729"/>
    <w:rsid w:val="00BD7CC4"/>
    <w:rsid w:val="00BE30BD"/>
    <w:rsid w:val="00C31CF2"/>
    <w:rsid w:val="00C60F32"/>
    <w:rsid w:val="00D10003"/>
    <w:rsid w:val="00D61F03"/>
    <w:rsid w:val="00DF7C53"/>
    <w:rsid w:val="00E24649"/>
    <w:rsid w:val="00E55664"/>
    <w:rsid w:val="00E556EA"/>
    <w:rsid w:val="00E576B0"/>
    <w:rsid w:val="00E64BCE"/>
    <w:rsid w:val="00E65BF0"/>
    <w:rsid w:val="00E73C5A"/>
    <w:rsid w:val="00EA08CC"/>
    <w:rsid w:val="00EA1BED"/>
    <w:rsid w:val="00EE3DEA"/>
    <w:rsid w:val="00EE53A0"/>
    <w:rsid w:val="00EF4B79"/>
    <w:rsid w:val="00F003B5"/>
    <w:rsid w:val="00F57606"/>
    <w:rsid w:val="00F83811"/>
    <w:rsid w:val="00FA0294"/>
    <w:rsid w:val="00FF2320"/>
    <w:rsid w:val="00FF29C3"/>
    <w:rsid w:val="078F277F"/>
    <w:rsid w:val="2D095E32"/>
    <w:rsid w:val="4E543AF1"/>
    <w:rsid w:val="4FFF6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5CC96A-AE17-45CD-B849-0D0BE0EE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numPr>
        <w:numId w:val="1"/>
      </w:numPr>
      <w:spacing w:before="260" w:after="260" w:line="360" w:lineRule="auto"/>
      <w:outlineLvl w:val="0"/>
    </w:pPr>
    <w:rPr>
      <w:rFonts w:eastAsia="宋体"/>
      <w:b/>
      <w:bCs/>
      <w:kern w:val="44"/>
      <w:sz w:val="24"/>
      <w:szCs w:val="44"/>
    </w:rPr>
  </w:style>
  <w:style w:type="paragraph" w:styleId="2">
    <w:name w:val="heading 2"/>
    <w:basedOn w:val="a"/>
    <w:next w:val="a"/>
    <w:uiPriority w:val="9"/>
    <w:semiHidden/>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uiPriority w:val="9"/>
    <w:semiHidden/>
    <w:unhideWhenUsed/>
    <w:qFormat/>
    <w:pPr>
      <w:keepNext/>
      <w:keepLines/>
      <w:numPr>
        <w:ilvl w:val="2"/>
        <w:numId w:val="1"/>
      </w:numPr>
      <w:spacing w:before="260" w:after="260" w:line="413" w:lineRule="auto"/>
      <w:outlineLvl w:val="2"/>
    </w:pPr>
    <w:rPr>
      <w:b/>
      <w:sz w:val="32"/>
    </w:r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autoRedefine/>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autoRedefine/>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宋体" w:eastAsia="宋体" w:hAnsi="宋体" w:cs="宋体"/>
      <w:kern w:val="0"/>
      <w:sz w:val="24"/>
      <w:szCs w:val="24"/>
      <w:lang w:eastAsia="en-US"/>
    </w:rPr>
  </w:style>
  <w:style w:type="paragraph" w:styleId="30">
    <w:name w:val="toc 3"/>
    <w:basedOn w:val="a"/>
    <w:next w:val="a"/>
    <w:autoRedefine/>
    <w:uiPriority w:val="39"/>
    <w:unhideWhenUsed/>
    <w:qFormat/>
    <w:pPr>
      <w:widowControl/>
      <w:spacing w:after="100"/>
      <w:ind w:left="440"/>
      <w:jc w:val="left"/>
    </w:pPr>
    <w:rPr>
      <w:rFonts w:cs="Times New Roman"/>
      <w:kern w:val="0"/>
      <w:sz w:val="22"/>
    </w:rPr>
  </w:style>
  <w:style w:type="paragraph" w:styleId="a4">
    <w:name w:val="Balloon Text"/>
    <w:basedOn w:val="a"/>
    <w:link w:val="Char"/>
    <w:uiPriority w:val="99"/>
    <w:semiHidden/>
    <w:unhideWhenUsed/>
    <w:qFormat/>
    <w:pPr>
      <w:spacing w:after="0" w:line="240" w:lineRule="auto"/>
    </w:pPr>
    <w:rPr>
      <w:rFonts w:ascii="Segoe UI" w:hAnsi="Segoe UI" w:cs="Segoe UI"/>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widowControl/>
      <w:spacing w:after="100"/>
      <w:jc w:val="left"/>
    </w:pPr>
    <w:rPr>
      <w:rFonts w:cs="Times New Roman"/>
      <w:kern w:val="0"/>
      <w:sz w:val="22"/>
    </w:rPr>
  </w:style>
  <w:style w:type="paragraph" w:styleId="20">
    <w:name w:val="toc 2"/>
    <w:basedOn w:val="a"/>
    <w:next w:val="a"/>
    <w:autoRedefine/>
    <w:uiPriority w:val="39"/>
    <w:unhideWhenUsed/>
    <w:pPr>
      <w:widowControl/>
      <w:spacing w:after="100"/>
      <w:ind w:left="220"/>
      <w:jc w:val="left"/>
    </w:pPr>
    <w:rPr>
      <w:rFonts w:cs="Times New Roman"/>
      <w:kern w:val="0"/>
      <w:sz w:val="22"/>
    </w:rPr>
  </w:style>
  <w:style w:type="character" w:styleId="a7">
    <w:name w:val="Hyperlink"/>
    <w:basedOn w:val="a0"/>
    <w:autoRedefine/>
    <w:uiPriority w:val="99"/>
    <w:unhideWhenUsed/>
    <w:qFormat/>
    <w:rPr>
      <w:color w:val="0563C1" w:themeColor="hyperlink"/>
      <w:u w:val="single"/>
    </w:rPr>
  </w:style>
  <w:style w:type="character" w:customStyle="1" w:styleId="Char1">
    <w:name w:val="页眉 Char"/>
    <w:basedOn w:val="a0"/>
    <w:link w:val="a6"/>
    <w:autoRedefine/>
    <w:uiPriority w:val="99"/>
    <w:rPr>
      <w:sz w:val="18"/>
      <w:szCs w:val="18"/>
    </w:rPr>
  </w:style>
  <w:style w:type="character" w:customStyle="1" w:styleId="Char0">
    <w:name w:val="页脚 Char"/>
    <w:basedOn w:val="a0"/>
    <w:link w:val="a5"/>
    <w:autoRedefine/>
    <w:uiPriority w:val="99"/>
    <w:qFormat/>
    <w:rPr>
      <w:sz w:val="18"/>
      <w:szCs w:val="18"/>
    </w:rPr>
  </w:style>
  <w:style w:type="character" w:customStyle="1" w:styleId="Char">
    <w:name w:val="批注框文本 Char"/>
    <w:basedOn w:val="a0"/>
    <w:link w:val="a4"/>
    <w:autoRedefine/>
    <w:uiPriority w:val="99"/>
    <w:semiHidden/>
    <w:qFormat/>
    <w:rPr>
      <w:rFonts w:ascii="Segoe UI" w:hAnsi="Segoe UI" w:cs="Segoe UI"/>
      <w:kern w:val="2"/>
      <w:sz w:val="18"/>
      <w:szCs w:val="18"/>
    </w:rPr>
  </w:style>
  <w:style w:type="character" w:customStyle="1" w:styleId="BodyChar1">
    <w:name w:val="Body Char1"/>
    <w:link w:val="Body"/>
    <w:rPr>
      <w:rFonts w:ascii="Arial" w:hAnsi="Arial"/>
      <w:sz w:val="22"/>
      <w:lang w:eastAsia="en-US"/>
    </w:rPr>
  </w:style>
  <w:style w:type="paragraph" w:customStyle="1" w:styleId="Body">
    <w:name w:val="Body"/>
    <w:link w:val="BodyChar1"/>
    <w:autoRedefine/>
    <w:pPr>
      <w:spacing w:after="120"/>
      <w:ind w:left="1418"/>
    </w:pPr>
    <w:rPr>
      <w:rFonts w:ascii="Arial" w:eastAsiaTheme="minorEastAsia" w:hAnsi="Arial" w:cstheme="minorBidi"/>
      <w:sz w:val="22"/>
      <w:lang w:eastAsia="en-US"/>
    </w:rPr>
  </w:style>
  <w:style w:type="paragraph" w:customStyle="1" w:styleId="ListParagraph1">
    <w:name w:val="List Paragraph1"/>
    <w:basedOn w:val="a"/>
    <w:uiPriority w:val="34"/>
    <w:qFormat/>
    <w:pPr>
      <w:ind w:firstLineChars="200" w:firstLine="420"/>
    </w:pPr>
    <w:rPr>
      <w:rFonts w:ascii="Times New Roman" w:eastAsia="宋体" w:hAnsi="Times New Roman" w:cs="Times New Roman"/>
      <w:szCs w:val="24"/>
    </w:rPr>
  </w:style>
  <w:style w:type="character" w:customStyle="1" w:styleId="1Char">
    <w:name w:val="标题 1 Char"/>
    <w:basedOn w:val="a0"/>
    <w:link w:val="1"/>
    <w:autoRedefine/>
    <w:uiPriority w:val="9"/>
    <w:qFormat/>
    <w:rPr>
      <w:rFonts w:asciiTheme="minorHAnsi" w:eastAsia="宋体" w:hAnsiTheme="minorHAnsi"/>
      <w:b/>
      <w:bCs/>
      <w:kern w:val="44"/>
      <w:sz w:val="24"/>
      <w:szCs w:val="44"/>
    </w:rPr>
  </w:style>
  <w:style w:type="paragraph" w:customStyle="1" w:styleId="TOC1">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1">
    <w:name w:val="标题1"/>
    <w:basedOn w:val="a"/>
    <w:link w:val="12"/>
    <w:autoRedefine/>
    <w:qFormat/>
    <w:pPr>
      <w:widowControl/>
      <w:spacing w:line="360" w:lineRule="auto"/>
      <w:jc w:val="left"/>
    </w:pPr>
    <w:rPr>
      <w:rFonts w:ascii="宋体" w:eastAsia="宋体" w:hAnsi="宋体" w:cs="宋体"/>
      <w:b/>
      <w:bCs/>
      <w:color w:val="222222"/>
      <w:kern w:val="0"/>
      <w:sz w:val="24"/>
      <w:szCs w:val="24"/>
    </w:rPr>
  </w:style>
  <w:style w:type="character" w:customStyle="1" w:styleId="12">
    <w:name w:val="标题1 字符"/>
    <w:basedOn w:val="a0"/>
    <w:link w:val="11"/>
    <w:rPr>
      <w:rFonts w:ascii="宋体" w:eastAsia="宋体" w:hAnsi="宋体" w:cs="宋体"/>
      <w:b/>
      <w:bCs/>
      <w:color w:val="222222"/>
      <w:sz w:val="24"/>
      <w:szCs w:val="24"/>
    </w:rPr>
  </w:style>
  <w:style w:type="character" w:customStyle="1" w:styleId="UnresolvedMention">
    <w:name w:val="Unresolved Mention"/>
    <w:basedOn w:val="a0"/>
    <w:autoRedefine/>
    <w:uiPriority w:val="99"/>
    <w:semiHidden/>
    <w:unhideWhenUsed/>
    <w:rPr>
      <w:color w:val="605E5C"/>
      <w:shd w:val="clear" w:color="auto" w:fill="E1DFDD"/>
    </w:rPr>
  </w:style>
  <w:style w:type="paragraph" w:customStyle="1" w:styleId="a8">
    <w:name w:val="主体内容"/>
    <w:autoRedefine/>
    <w:qFormat/>
    <w:pPr>
      <w:spacing w:line="360" w:lineRule="auto"/>
      <w:ind w:left="360"/>
    </w:pPr>
    <w:rPr>
      <w:rFonts w:cs="微软雅黑"/>
      <w:kern w:val="2"/>
      <w:sz w:val="24"/>
      <w:szCs w:val="22"/>
    </w:rPr>
  </w:style>
  <w:style w:type="paragraph" w:customStyle="1" w:styleId="WPSOffice1">
    <w:name w:val="WPSOffice手动目录 1"/>
    <w:autoRedefine/>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1EAB-7449-44B5-BF6C-B7E1E6283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qiao luo</dc:creator>
  <cp:lastModifiedBy>朱琳</cp:lastModifiedBy>
  <cp:revision>43</cp:revision>
  <cp:lastPrinted>2024-01-16T08:26:00Z</cp:lastPrinted>
  <dcterms:created xsi:type="dcterms:W3CDTF">2019-11-21T21:54:00Z</dcterms:created>
  <dcterms:modified xsi:type="dcterms:W3CDTF">2024-01-16T08:26:00Z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327DC6418606457EBB0E2E87A410AE7D_12</vt:lpwstr>
  </property>
</Properties>
</file>